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A0EF1" w14:textId="77777777" w:rsidR="00526FC4" w:rsidRPr="00641E91" w:rsidRDefault="00526FC4" w:rsidP="00526FC4">
      <w:pPr>
        <w:jc w:val="center"/>
        <w:rPr>
          <w:b/>
          <w:sz w:val="28"/>
          <w:szCs w:val="28"/>
        </w:rPr>
      </w:pPr>
      <w:r w:rsidRPr="00641E91">
        <w:rPr>
          <w:b/>
          <w:sz w:val="28"/>
          <w:szCs w:val="28"/>
        </w:rPr>
        <w:t xml:space="preserve">MINUTES OF </w:t>
      </w:r>
      <w:r>
        <w:rPr>
          <w:b/>
          <w:sz w:val="28"/>
          <w:szCs w:val="28"/>
        </w:rPr>
        <w:t>HIV/TB</w:t>
      </w:r>
      <w:r w:rsidRPr="00641E91">
        <w:rPr>
          <w:b/>
          <w:sz w:val="28"/>
          <w:szCs w:val="28"/>
        </w:rPr>
        <w:t xml:space="preserve"> DASH BOARDS REVIEW MEETING</w:t>
      </w:r>
    </w:p>
    <w:p w14:paraId="1E2C38DA" w14:textId="04CDDEF9" w:rsidR="00526FC4" w:rsidRPr="00641E91" w:rsidRDefault="00087F9A" w:rsidP="00526FC4">
      <w:pPr>
        <w:jc w:val="center"/>
        <w:rPr>
          <w:b/>
        </w:rPr>
      </w:pPr>
      <w:r>
        <w:rPr>
          <w:b/>
        </w:rPr>
        <w:t>June 7th</w:t>
      </w:r>
      <w:r w:rsidR="00226C88">
        <w:rPr>
          <w:b/>
        </w:rPr>
        <w:t>, 201</w:t>
      </w:r>
      <w:r w:rsidR="00643B77">
        <w:rPr>
          <w:b/>
        </w:rPr>
        <w:t>7</w:t>
      </w:r>
      <w:r w:rsidR="00526FC4" w:rsidRPr="00641E91">
        <w:rPr>
          <w:b/>
        </w:rPr>
        <w:t xml:space="preserve"> </w:t>
      </w:r>
      <w:r w:rsidR="00526FC4">
        <w:rPr>
          <w:b/>
        </w:rPr>
        <w:t xml:space="preserve">at </w:t>
      </w:r>
      <w:r w:rsidR="00226C88">
        <w:rPr>
          <w:b/>
        </w:rPr>
        <w:t>the CCM Secretariat</w:t>
      </w:r>
    </w:p>
    <w:p w14:paraId="218DBC11" w14:textId="77777777" w:rsidR="00066C73" w:rsidRPr="00D96870" w:rsidRDefault="00B5692E" w:rsidP="007D2F92">
      <w:pPr>
        <w:jc w:val="both"/>
        <w:rPr>
          <w:b/>
        </w:rPr>
      </w:pPr>
      <w:r w:rsidRPr="00D96870">
        <w:rPr>
          <w:b/>
        </w:rPr>
        <w:t>A</w:t>
      </w:r>
      <w:r w:rsidR="00526FC4">
        <w:rPr>
          <w:b/>
        </w:rPr>
        <w:t>ttendance</w:t>
      </w:r>
      <w:r w:rsidRPr="00D96870">
        <w:rPr>
          <w:b/>
        </w:rPr>
        <w:t>:</w:t>
      </w:r>
    </w:p>
    <w:tbl>
      <w:tblPr>
        <w:tblStyle w:val="TableGrid"/>
        <w:tblW w:w="0" w:type="auto"/>
        <w:tblLayout w:type="fixed"/>
        <w:tblLook w:val="04A0" w:firstRow="1" w:lastRow="0" w:firstColumn="1" w:lastColumn="0" w:noHBand="0" w:noVBand="1"/>
      </w:tblPr>
      <w:tblGrid>
        <w:gridCol w:w="704"/>
        <w:gridCol w:w="3119"/>
        <w:gridCol w:w="2693"/>
        <w:gridCol w:w="2268"/>
      </w:tblGrid>
      <w:tr w:rsidR="00066C73" w14:paraId="315F3381" w14:textId="77777777" w:rsidTr="00087F9A">
        <w:tc>
          <w:tcPr>
            <w:tcW w:w="704" w:type="dxa"/>
          </w:tcPr>
          <w:p w14:paraId="5574ACD8" w14:textId="77777777" w:rsidR="00066C73" w:rsidRPr="007B326F" w:rsidRDefault="00FB5D0B" w:rsidP="007D2F92">
            <w:pPr>
              <w:jc w:val="both"/>
              <w:rPr>
                <w:b/>
              </w:rPr>
            </w:pPr>
            <w:r w:rsidRPr="007B326F">
              <w:rPr>
                <w:b/>
              </w:rPr>
              <w:t xml:space="preserve">No. </w:t>
            </w:r>
          </w:p>
        </w:tc>
        <w:tc>
          <w:tcPr>
            <w:tcW w:w="3119" w:type="dxa"/>
          </w:tcPr>
          <w:p w14:paraId="7817BE0C" w14:textId="77777777" w:rsidR="00066C73" w:rsidRPr="007B326F" w:rsidRDefault="00FB5D0B" w:rsidP="007D2F92">
            <w:pPr>
              <w:jc w:val="both"/>
              <w:rPr>
                <w:b/>
              </w:rPr>
            </w:pPr>
            <w:r w:rsidRPr="007B326F">
              <w:rPr>
                <w:b/>
              </w:rPr>
              <w:t>Name</w:t>
            </w:r>
          </w:p>
        </w:tc>
        <w:tc>
          <w:tcPr>
            <w:tcW w:w="2693" w:type="dxa"/>
          </w:tcPr>
          <w:p w14:paraId="41E2BB8F" w14:textId="77777777" w:rsidR="00066C73" w:rsidRPr="007B326F" w:rsidRDefault="00183683" w:rsidP="007D2F92">
            <w:pPr>
              <w:jc w:val="both"/>
              <w:rPr>
                <w:b/>
              </w:rPr>
            </w:pPr>
            <w:r w:rsidRPr="007B326F">
              <w:rPr>
                <w:b/>
              </w:rPr>
              <w:t>Organization</w:t>
            </w:r>
          </w:p>
        </w:tc>
        <w:tc>
          <w:tcPr>
            <w:tcW w:w="2268" w:type="dxa"/>
          </w:tcPr>
          <w:p w14:paraId="324237B0" w14:textId="77777777" w:rsidR="00066C73" w:rsidRPr="007B326F" w:rsidRDefault="00183683" w:rsidP="007D2F92">
            <w:pPr>
              <w:jc w:val="both"/>
              <w:rPr>
                <w:b/>
              </w:rPr>
            </w:pPr>
            <w:r w:rsidRPr="007B326F">
              <w:rPr>
                <w:b/>
              </w:rPr>
              <w:t>Sector</w:t>
            </w:r>
          </w:p>
        </w:tc>
      </w:tr>
      <w:tr w:rsidR="00526FC4" w:rsidRPr="00F44379" w14:paraId="14B983D4" w14:textId="77777777" w:rsidTr="00087F9A">
        <w:tc>
          <w:tcPr>
            <w:tcW w:w="704" w:type="dxa"/>
          </w:tcPr>
          <w:p w14:paraId="2C47AA2A" w14:textId="78F9EFC2" w:rsidR="00526FC4" w:rsidRPr="00CB271F" w:rsidRDefault="00F07886" w:rsidP="00526FC4">
            <w:pPr>
              <w:jc w:val="both"/>
            </w:pPr>
            <w:r>
              <w:t>1</w:t>
            </w:r>
          </w:p>
        </w:tc>
        <w:tc>
          <w:tcPr>
            <w:tcW w:w="3119" w:type="dxa"/>
          </w:tcPr>
          <w:p w14:paraId="5457DFFA" w14:textId="77777777" w:rsidR="00526FC4" w:rsidRPr="00CB271F" w:rsidRDefault="00526FC4" w:rsidP="00526FC4">
            <w:pPr>
              <w:jc w:val="both"/>
            </w:pPr>
            <w:r w:rsidRPr="00CB271F">
              <w:t>Annekatrin El Oumrany</w:t>
            </w:r>
          </w:p>
        </w:tc>
        <w:tc>
          <w:tcPr>
            <w:tcW w:w="2693" w:type="dxa"/>
          </w:tcPr>
          <w:p w14:paraId="4A38680A" w14:textId="77777777" w:rsidR="00526FC4" w:rsidRPr="00CB271F" w:rsidRDefault="00526FC4" w:rsidP="00526FC4">
            <w:pPr>
              <w:jc w:val="both"/>
            </w:pPr>
            <w:r w:rsidRPr="00CB271F">
              <w:t>CCM Secretariat</w:t>
            </w:r>
          </w:p>
        </w:tc>
        <w:tc>
          <w:tcPr>
            <w:tcW w:w="2268" w:type="dxa"/>
          </w:tcPr>
          <w:p w14:paraId="70FC28E3" w14:textId="77777777" w:rsidR="00526FC4" w:rsidRPr="00CB271F" w:rsidRDefault="00526FC4" w:rsidP="00526FC4">
            <w:pPr>
              <w:jc w:val="both"/>
            </w:pPr>
            <w:r w:rsidRPr="00CB271F">
              <w:t>CCM</w:t>
            </w:r>
          </w:p>
        </w:tc>
      </w:tr>
      <w:tr w:rsidR="00087F9A" w:rsidRPr="00F07886" w14:paraId="6D0CC4CB" w14:textId="77777777" w:rsidTr="00087F9A">
        <w:tc>
          <w:tcPr>
            <w:tcW w:w="704" w:type="dxa"/>
          </w:tcPr>
          <w:p w14:paraId="0391DB7B" w14:textId="276FE9F4" w:rsidR="00087F9A" w:rsidRPr="00F07886" w:rsidRDefault="00F07886" w:rsidP="00087F9A">
            <w:pPr>
              <w:jc w:val="both"/>
            </w:pPr>
            <w:r>
              <w:t>2</w:t>
            </w:r>
          </w:p>
        </w:tc>
        <w:tc>
          <w:tcPr>
            <w:tcW w:w="3119" w:type="dxa"/>
          </w:tcPr>
          <w:p w14:paraId="0D9DA985" w14:textId="77777777" w:rsidR="00087F9A" w:rsidRPr="00F07886" w:rsidRDefault="00087F9A" w:rsidP="00087F9A">
            <w:pPr>
              <w:jc w:val="both"/>
            </w:pPr>
            <w:r w:rsidRPr="00F07886">
              <w:t>Kenneth Danso</w:t>
            </w:r>
          </w:p>
        </w:tc>
        <w:tc>
          <w:tcPr>
            <w:tcW w:w="2693" w:type="dxa"/>
          </w:tcPr>
          <w:p w14:paraId="747D10C1" w14:textId="77777777" w:rsidR="00087F9A" w:rsidRPr="00F07886" w:rsidRDefault="00087F9A" w:rsidP="00087F9A">
            <w:pPr>
              <w:jc w:val="both"/>
            </w:pPr>
            <w:r w:rsidRPr="00F07886">
              <w:t>NACP</w:t>
            </w:r>
          </w:p>
        </w:tc>
        <w:tc>
          <w:tcPr>
            <w:tcW w:w="2268" w:type="dxa"/>
          </w:tcPr>
          <w:p w14:paraId="7CF8BA37" w14:textId="77777777" w:rsidR="00087F9A" w:rsidRPr="00F07886" w:rsidRDefault="00087F9A" w:rsidP="00087F9A">
            <w:pPr>
              <w:jc w:val="both"/>
            </w:pPr>
            <w:r w:rsidRPr="00F07886">
              <w:t>PR / Government</w:t>
            </w:r>
          </w:p>
        </w:tc>
      </w:tr>
      <w:tr w:rsidR="00087F9A" w:rsidRPr="00F07886" w14:paraId="6B252474" w14:textId="77777777" w:rsidTr="00087F9A">
        <w:tc>
          <w:tcPr>
            <w:tcW w:w="704" w:type="dxa"/>
          </w:tcPr>
          <w:p w14:paraId="12598FA3" w14:textId="0B6EEE84" w:rsidR="00087F9A" w:rsidRPr="00F07886" w:rsidRDefault="00F07886" w:rsidP="00087F9A">
            <w:pPr>
              <w:jc w:val="both"/>
            </w:pPr>
            <w:r>
              <w:t>3</w:t>
            </w:r>
          </w:p>
        </w:tc>
        <w:tc>
          <w:tcPr>
            <w:tcW w:w="3119" w:type="dxa"/>
          </w:tcPr>
          <w:p w14:paraId="10E81904" w14:textId="77777777" w:rsidR="00087F9A" w:rsidRPr="00F07886" w:rsidRDefault="00087F9A" w:rsidP="00087F9A">
            <w:pPr>
              <w:jc w:val="both"/>
              <w:rPr>
                <w:lang w:val="de-DE"/>
              </w:rPr>
            </w:pPr>
            <w:r w:rsidRPr="00F07886">
              <w:rPr>
                <w:lang w:val="de-DE"/>
              </w:rPr>
              <w:t>James Nii Darko Saakwa-Mante</w:t>
            </w:r>
          </w:p>
        </w:tc>
        <w:tc>
          <w:tcPr>
            <w:tcW w:w="2693" w:type="dxa"/>
          </w:tcPr>
          <w:p w14:paraId="331455CB" w14:textId="77777777" w:rsidR="00087F9A" w:rsidRPr="00F07886" w:rsidRDefault="00087F9A" w:rsidP="00087F9A">
            <w:pPr>
              <w:jc w:val="both"/>
            </w:pPr>
            <w:r w:rsidRPr="00F07886">
              <w:t>NACP</w:t>
            </w:r>
          </w:p>
        </w:tc>
        <w:tc>
          <w:tcPr>
            <w:tcW w:w="2268" w:type="dxa"/>
          </w:tcPr>
          <w:p w14:paraId="2E2C0E16" w14:textId="77777777" w:rsidR="00087F9A" w:rsidRPr="00F07886" w:rsidRDefault="00087F9A" w:rsidP="00087F9A">
            <w:pPr>
              <w:jc w:val="both"/>
            </w:pPr>
            <w:r w:rsidRPr="00F07886">
              <w:t>PR / Government</w:t>
            </w:r>
          </w:p>
        </w:tc>
      </w:tr>
      <w:tr w:rsidR="00087F9A" w:rsidRPr="00F07886" w14:paraId="4B006845" w14:textId="77777777" w:rsidTr="00087F9A">
        <w:tc>
          <w:tcPr>
            <w:tcW w:w="704" w:type="dxa"/>
          </w:tcPr>
          <w:p w14:paraId="3F9CCD19" w14:textId="39C0EC42" w:rsidR="00087F9A" w:rsidRPr="00F07886" w:rsidRDefault="00F07886" w:rsidP="00087F9A">
            <w:pPr>
              <w:jc w:val="both"/>
            </w:pPr>
            <w:r>
              <w:t>4</w:t>
            </w:r>
          </w:p>
        </w:tc>
        <w:tc>
          <w:tcPr>
            <w:tcW w:w="3119" w:type="dxa"/>
          </w:tcPr>
          <w:p w14:paraId="7D7518F6" w14:textId="049AA793" w:rsidR="00087F9A" w:rsidRPr="00F07886" w:rsidRDefault="00087F9A" w:rsidP="00087F9A">
            <w:pPr>
              <w:jc w:val="both"/>
            </w:pPr>
            <w:r w:rsidRPr="00F07886">
              <w:t xml:space="preserve">Kwadwo </w:t>
            </w:r>
            <w:proofErr w:type="spellStart"/>
            <w:r w:rsidRPr="00F07886">
              <w:t>Kodnah</w:t>
            </w:r>
            <w:proofErr w:type="spellEnd"/>
            <w:r w:rsidR="00D36D1B" w:rsidRPr="00F07886">
              <w:t xml:space="preserve"> Owusu</w:t>
            </w:r>
          </w:p>
        </w:tc>
        <w:tc>
          <w:tcPr>
            <w:tcW w:w="2693" w:type="dxa"/>
          </w:tcPr>
          <w:p w14:paraId="104B9041" w14:textId="77777777" w:rsidR="00087F9A" w:rsidRPr="00F07886" w:rsidRDefault="00087F9A" w:rsidP="00087F9A">
            <w:pPr>
              <w:jc w:val="both"/>
            </w:pPr>
            <w:r w:rsidRPr="00F07886">
              <w:t>NACP</w:t>
            </w:r>
          </w:p>
        </w:tc>
        <w:tc>
          <w:tcPr>
            <w:tcW w:w="2268" w:type="dxa"/>
          </w:tcPr>
          <w:p w14:paraId="3DE9BCE5" w14:textId="77777777" w:rsidR="00087F9A" w:rsidRPr="00F07886" w:rsidRDefault="00087F9A" w:rsidP="00087F9A">
            <w:r w:rsidRPr="00F07886">
              <w:t>PR / Government</w:t>
            </w:r>
          </w:p>
        </w:tc>
      </w:tr>
      <w:tr w:rsidR="00E07DEB" w:rsidRPr="00F07886" w14:paraId="3271CD35" w14:textId="77777777" w:rsidTr="00087F9A">
        <w:tc>
          <w:tcPr>
            <w:tcW w:w="704" w:type="dxa"/>
          </w:tcPr>
          <w:p w14:paraId="109C9191" w14:textId="3934838F" w:rsidR="00E07DEB" w:rsidRPr="00F07886" w:rsidRDefault="00F07886" w:rsidP="00087F9A">
            <w:pPr>
              <w:jc w:val="both"/>
            </w:pPr>
            <w:r>
              <w:t>5</w:t>
            </w:r>
          </w:p>
        </w:tc>
        <w:tc>
          <w:tcPr>
            <w:tcW w:w="3119" w:type="dxa"/>
          </w:tcPr>
          <w:p w14:paraId="618921BE" w14:textId="39C669A2" w:rsidR="00E07DEB" w:rsidRPr="00F07886" w:rsidRDefault="00D36D1B" w:rsidP="00193BB1">
            <w:pPr>
              <w:jc w:val="both"/>
            </w:pPr>
            <w:proofErr w:type="spellStart"/>
            <w:r w:rsidRPr="00F07886">
              <w:t>Mari</w:t>
            </w:r>
            <w:r w:rsidR="00193BB1">
              <w:t>j</w:t>
            </w:r>
            <w:r w:rsidRPr="00F07886">
              <w:t>a</w:t>
            </w:r>
            <w:r w:rsidR="00193BB1">
              <w:t>n</w:t>
            </w:r>
            <w:r w:rsidRPr="00F07886">
              <w:t>atou</w:t>
            </w:r>
            <w:proofErr w:type="spellEnd"/>
            <w:r w:rsidRPr="00F07886">
              <w:t xml:space="preserve"> Abdulai</w:t>
            </w:r>
          </w:p>
        </w:tc>
        <w:tc>
          <w:tcPr>
            <w:tcW w:w="2693" w:type="dxa"/>
          </w:tcPr>
          <w:p w14:paraId="64E06D75" w14:textId="52DA3302" w:rsidR="00E07DEB" w:rsidRPr="00F07886" w:rsidRDefault="00E07DEB" w:rsidP="00087F9A">
            <w:pPr>
              <w:jc w:val="both"/>
            </w:pPr>
            <w:r w:rsidRPr="00F07886">
              <w:t>NACP</w:t>
            </w:r>
          </w:p>
        </w:tc>
        <w:tc>
          <w:tcPr>
            <w:tcW w:w="2268" w:type="dxa"/>
          </w:tcPr>
          <w:p w14:paraId="10D40FE0" w14:textId="17E3BBE1" w:rsidR="00E07DEB" w:rsidRPr="00F07886" w:rsidRDefault="00E07DEB" w:rsidP="00087F9A">
            <w:pPr>
              <w:jc w:val="both"/>
            </w:pPr>
            <w:r w:rsidRPr="00F07886">
              <w:t>PR / Government</w:t>
            </w:r>
          </w:p>
        </w:tc>
      </w:tr>
      <w:tr w:rsidR="00087F9A" w:rsidRPr="00F07886" w14:paraId="4B0D36E8" w14:textId="77777777" w:rsidTr="00087F9A">
        <w:tc>
          <w:tcPr>
            <w:tcW w:w="704" w:type="dxa"/>
          </w:tcPr>
          <w:p w14:paraId="5FC54999" w14:textId="2EA7C7C9" w:rsidR="00087F9A" w:rsidRPr="00F07886" w:rsidRDefault="00F07886" w:rsidP="00087F9A">
            <w:pPr>
              <w:jc w:val="both"/>
            </w:pPr>
            <w:r>
              <w:t>6</w:t>
            </w:r>
          </w:p>
        </w:tc>
        <w:tc>
          <w:tcPr>
            <w:tcW w:w="3119" w:type="dxa"/>
          </w:tcPr>
          <w:p w14:paraId="2EA55736" w14:textId="77777777" w:rsidR="00087F9A" w:rsidRPr="00F07886" w:rsidRDefault="00087F9A" w:rsidP="00087F9A">
            <w:pPr>
              <w:jc w:val="both"/>
            </w:pPr>
            <w:r w:rsidRPr="00F07886">
              <w:t>Kwami Afutu</w:t>
            </w:r>
          </w:p>
        </w:tc>
        <w:tc>
          <w:tcPr>
            <w:tcW w:w="2693" w:type="dxa"/>
          </w:tcPr>
          <w:p w14:paraId="180F8A49" w14:textId="77777777" w:rsidR="00087F9A" w:rsidRPr="00F07886" w:rsidRDefault="00087F9A" w:rsidP="00087F9A">
            <w:pPr>
              <w:jc w:val="both"/>
            </w:pPr>
            <w:r w:rsidRPr="00F07886">
              <w:t>NTP</w:t>
            </w:r>
          </w:p>
        </w:tc>
        <w:tc>
          <w:tcPr>
            <w:tcW w:w="2268" w:type="dxa"/>
          </w:tcPr>
          <w:p w14:paraId="2738D9EE" w14:textId="77777777" w:rsidR="00087F9A" w:rsidRPr="00F07886" w:rsidRDefault="00087F9A" w:rsidP="00087F9A">
            <w:pPr>
              <w:jc w:val="both"/>
            </w:pPr>
            <w:r w:rsidRPr="00F07886">
              <w:t>PR / Government</w:t>
            </w:r>
          </w:p>
        </w:tc>
      </w:tr>
      <w:tr w:rsidR="00087F9A" w:rsidRPr="00C578A4" w14:paraId="1648373D" w14:textId="77777777" w:rsidTr="00087F9A">
        <w:tc>
          <w:tcPr>
            <w:tcW w:w="704" w:type="dxa"/>
          </w:tcPr>
          <w:p w14:paraId="55004C01" w14:textId="75A844C1" w:rsidR="00087F9A" w:rsidRPr="00C578A4" w:rsidRDefault="00F07886" w:rsidP="00087F9A">
            <w:pPr>
              <w:jc w:val="both"/>
            </w:pPr>
            <w:r>
              <w:t>7</w:t>
            </w:r>
          </w:p>
        </w:tc>
        <w:tc>
          <w:tcPr>
            <w:tcW w:w="3119" w:type="dxa"/>
          </w:tcPr>
          <w:p w14:paraId="0770A785" w14:textId="77777777" w:rsidR="00087F9A" w:rsidRPr="00C578A4" w:rsidRDefault="00087F9A" w:rsidP="00087F9A">
            <w:pPr>
              <w:jc w:val="both"/>
            </w:pPr>
            <w:r w:rsidRPr="00C578A4">
              <w:t>Raymond Gockah</w:t>
            </w:r>
          </w:p>
        </w:tc>
        <w:tc>
          <w:tcPr>
            <w:tcW w:w="2693" w:type="dxa"/>
          </w:tcPr>
          <w:p w14:paraId="07D7550A" w14:textId="77777777" w:rsidR="00087F9A" w:rsidRPr="00C578A4" w:rsidRDefault="00087F9A" w:rsidP="00087F9A">
            <w:pPr>
              <w:jc w:val="both"/>
            </w:pPr>
            <w:r w:rsidRPr="00C578A4">
              <w:t>NTP</w:t>
            </w:r>
          </w:p>
        </w:tc>
        <w:tc>
          <w:tcPr>
            <w:tcW w:w="2268" w:type="dxa"/>
          </w:tcPr>
          <w:p w14:paraId="6AE60B31" w14:textId="77777777" w:rsidR="00087F9A" w:rsidRPr="00C578A4" w:rsidRDefault="00087F9A" w:rsidP="00087F9A">
            <w:r w:rsidRPr="00C578A4">
              <w:t>PR / Government</w:t>
            </w:r>
          </w:p>
        </w:tc>
      </w:tr>
      <w:tr w:rsidR="00087F9A" w:rsidRPr="00C578A4" w14:paraId="7BB617C0" w14:textId="77777777" w:rsidTr="00087F9A">
        <w:tc>
          <w:tcPr>
            <w:tcW w:w="704" w:type="dxa"/>
          </w:tcPr>
          <w:p w14:paraId="6B7BC9F1" w14:textId="53629F0A" w:rsidR="00087F9A" w:rsidRPr="00C578A4" w:rsidRDefault="00F07886" w:rsidP="00087F9A">
            <w:pPr>
              <w:jc w:val="both"/>
            </w:pPr>
            <w:r>
              <w:t>8</w:t>
            </w:r>
          </w:p>
        </w:tc>
        <w:tc>
          <w:tcPr>
            <w:tcW w:w="3119" w:type="dxa"/>
          </w:tcPr>
          <w:p w14:paraId="06FF17E4" w14:textId="77777777" w:rsidR="00087F9A" w:rsidRPr="00C578A4" w:rsidRDefault="00087F9A" w:rsidP="00087F9A">
            <w:pPr>
              <w:jc w:val="both"/>
            </w:pPr>
            <w:r w:rsidRPr="00C578A4">
              <w:t>Kwame Dieu-Donne Kulevome</w:t>
            </w:r>
          </w:p>
        </w:tc>
        <w:tc>
          <w:tcPr>
            <w:tcW w:w="2693" w:type="dxa"/>
          </w:tcPr>
          <w:p w14:paraId="03444AB1" w14:textId="77777777" w:rsidR="00087F9A" w:rsidRPr="00C578A4" w:rsidRDefault="00087F9A" w:rsidP="00087F9A">
            <w:pPr>
              <w:jc w:val="both"/>
            </w:pPr>
            <w:r w:rsidRPr="00C578A4">
              <w:t>NTP</w:t>
            </w:r>
          </w:p>
        </w:tc>
        <w:tc>
          <w:tcPr>
            <w:tcW w:w="2268" w:type="dxa"/>
          </w:tcPr>
          <w:p w14:paraId="6DF21900" w14:textId="77777777" w:rsidR="00087F9A" w:rsidRPr="00C578A4" w:rsidRDefault="00087F9A" w:rsidP="00087F9A">
            <w:r w:rsidRPr="00C578A4">
              <w:t>PR / Government</w:t>
            </w:r>
          </w:p>
        </w:tc>
      </w:tr>
      <w:tr w:rsidR="00D36D1B" w:rsidRPr="00C578A4" w14:paraId="037DAD51" w14:textId="77777777" w:rsidTr="00087F9A">
        <w:tc>
          <w:tcPr>
            <w:tcW w:w="704" w:type="dxa"/>
          </w:tcPr>
          <w:p w14:paraId="1F8E54F4" w14:textId="097C3773" w:rsidR="00D36D1B" w:rsidRPr="00C578A4" w:rsidRDefault="00F07886" w:rsidP="00087F9A">
            <w:pPr>
              <w:jc w:val="both"/>
            </w:pPr>
            <w:r>
              <w:t>9</w:t>
            </w:r>
          </w:p>
        </w:tc>
        <w:tc>
          <w:tcPr>
            <w:tcW w:w="3119" w:type="dxa"/>
          </w:tcPr>
          <w:p w14:paraId="325DCB7D" w14:textId="7B243F67" w:rsidR="00D36D1B" w:rsidRPr="00C578A4" w:rsidRDefault="00D36D1B" w:rsidP="00087F9A">
            <w:r>
              <w:t xml:space="preserve">Dr. Yaw </w:t>
            </w:r>
            <w:proofErr w:type="spellStart"/>
            <w:r>
              <w:t>Adusi</w:t>
            </w:r>
            <w:proofErr w:type="spellEnd"/>
            <w:r>
              <w:t xml:space="preserve"> Poku</w:t>
            </w:r>
          </w:p>
        </w:tc>
        <w:tc>
          <w:tcPr>
            <w:tcW w:w="2693" w:type="dxa"/>
          </w:tcPr>
          <w:p w14:paraId="535452C0" w14:textId="38A15432" w:rsidR="00D36D1B" w:rsidRPr="00C578A4" w:rsidRDefault="00D36D1B" w:rsidP="00087F9A">
            <w:pPr>
              <w:jc w:val="both"/>
            </w:pPr>
            <w:r>
              <w:t>NTP</w:t>
            </w:r>
          </w:p>
        </w:tc>
        <w:tc>
          <w:tcPr>
            <w:tcW w:w="2268" w:type="dxa"/>
          </w:tcPr>
          <w:p w14:paraId="64F76F82" w14:textId="2027CCB8" w:rsidR="00D36D1B" w:rsidRPr="00C578A4" w:rsidRDefault="00D36D1B" w:rsidP="00087F9A">
            <w:pPr>
              <w:jc w:val="both"/>
            </w:pPr>
            <w:r>
              <w:t xml:space="preserve">PR / Government </w:t>
            </w:r>
          </w:p>
        </w:tc>
      </w:tr>
      <w:tr w:rsidR="00087F9A" w:rsidRPr="00C578A4" w14:paraId="2A6AB7CB" w14:textId="77777777" w:rsidTr="00087F9A">
        <w:tc>
          <w:tcPr>
            <w:tcW w:w="704" w:type="dxa"/>
          </w:tcPr>
          <w:p w14:paraId="22ECAF3F" w14:textId="7D67F111" w:rsidR="00087F9A" w:rsidRPr="00C578A4" w:rsidRDefault="00F07886" w:rsidP="00087F9A">
            <w:pPr>
              <w:jc w:val="both"/>
            </w:pPr>
            <w:r>
              <w:t>10</w:t>
            </w:r>
          </w:p>
        </w:tc>
        <w:tc>
          <w:tcPr>
            <w:tcW w:w="3119" w:type="dxa"/>
          </w:tcPr>
          <w:p w14:paraId="6D0BDA94" w14:textId="77777777" w:rsidR="00087F9A" w:rsidRPr="00C578A4" w:rsidRDefault="00087F9A" w:rsidP="00087F9A">
            <w:r w:rsidRPr="00C578A4">
              <w:t>Daniel Kpogo</w:t>
            </w:r>
          </w:p>
        </w:tc>
        <w:tc>
          <w:tcPr>
            <w:tcW w:w="2693" w:type="dxa"/>
          </w:tcPr>
          <w:p w14:paraId="7ACD3FAC" w14:textId="77777777" w:rsidR="00087F9A" w:rsidRPr="00C578A4" w:rsidRDefault="00087F9A" w:rsidP="00087F9A">
            <w:pPr>
              <w:jc w:val="both"/>
            </w:pPr>
            <w:r w:rsidRPr="00C578A4">
              <w:t>GAC</w:t>
            </w:r>
          </w:p>
        </w:tc>
        <w:tc>
          <w:tcPr>
            <w:tcW w:w="2268" w:type="dxa"/>
          </w:tcPr>
          <w:p w14:paraId="2F109682" w14:textId="77777777" w:rsidR="00087F9A" w:rsidRPr="00C578A4" w:rsidRDefault="00087F9A" w:rsidP="00087F9A">
            <w:pPr>
              <w:jc w:val="both"/>
            </w:pPr>
            <w:r w:rsidRPr="00C578A4">
              <w:t>PR / Government</w:t>
            </w:r>
          </w:p>
        </w:tc>
      </w:tr>
      <w:tr w:rsidR="00087F9A" w:rsidRPr="00C578A4" w14:paraId="60CB2288" w14:textId="77777777" w:rsidTr="00087F9A">
        <w:tc>
          <w:tcPr>
            <w:tcW w:w="704" w:type="dxa"/>
          </w:tcPr>
          <w:p w14:paraId="5E2BE865" w14:textId="17982585" w:rsidR="00087F9A" w:rsidRPr="00C578A4" w:rsidRDefault="00F07886" w:rsidP="00087F9A">
            <w:pPr>
              <w:jc w:val="both"/>
            </w:pPr>
            <w:r>
              <w:t>11</w:t>
            </w:r>
          </w:p>
        </w:tc>
        <w:tc>
          <w:tcPr>
            <w:tcW w:w="3119" w:type="dxa"/>
          </w:tcPr>
          <w:p w14:paraId="557F5C48" w14:textId="77777777" w:rsidR="00087F9A" w:rsidRPr="00C578A4" w:rsidRDefault="00087F9A" w:rsidP="00087F9A">
            <w:pPr>
              <w:jc w:val="both"/>
            </w:pPr>
            <w:r w:rsidRPr="00C578A4">
              <w:t>Raphael Sackitey</w:t>
            </w:r>
          </w:p>
        </w:tc>
        <w:tc>
          <w:tcPr>
            <w:tcW w:w="2693" w:type="dxa"/>
          </w:tcPr>
          <w:p w14:paraId="12041E16" w14:textId="77777777" w:rsidR="00087F9A" w:rsidRPr="00C578A4" w:rsidRDefault="00087F9A" w:rsidP="00087F9A">
            <w:pPr>
              <w:jc w:val="both"/>
            </w:pPr>
            <w:r w:rsidRPr="00C578A4">
              <w:t>GAC</w:t>
            </w:r>
          </w:p>
        </w:tc>
        <w:tc>
          <w:tcPr>
            <w:tcW w:w="2268" w:type="dxa"/>
          </w:tcPr>
          <w:p w14:paraId="4302E2FF" w14:textId="77777777" w:rsidR="00087F9A" w:rsidRPr="00C578A4" w:rsidRDefault="00087F9A" w:rsidP="00087F9A">
            <w:pPr>
              <w:jc w:val="both"/>
            </w:pPr>
            <w:r w:rsidRPr="00C578A4">
              <w:t>PR / Government</w:t>
            </w:r>
          </w:p>
        </w:tc>
      </w:tr>
      <w:tr w:rsidR="00087F9A" w:rsidRPr="00C578A4" w14:paraId="42A22027" w14:textId="77777777" w:rsidTr="00087F9A">
        <w:tc>
          <w:tcPr>
            <w:tcW w:w="704" w:type="dxa"/>
          </w:tcPr>
          <w:p w14:paraId="27CCFF06" w14:textId="42E41B09" w:rsidR="00087F9A" w:rsidRPr="00C578A4" w:rsidRDefault="00F07886" w:rsidP="00087F9A">
            <w:pPr>
              <w:jc w:val="both"/>
            </w:pPr>
            <w:r>
              <w:t>12</w:t>
            </w:r>
          </w:p>
        </w:tc>
        <w:tc>
          <w:tcPr>
            <w:tcW w:w="3119" w:type="dxa"/>
          </w:tcPr>
          <w:p w14:paraId="7E60506F" w14:textId="77777777" w:rsidR="00087F9A" w:rsidRPr="00C578A4" w:rsidRDefault="00087F9A" w:rsidP="00087F9A">
            <w:pPr>
              <w:jc w:val="both"/>
            </w:pPr>
            <w:r w:rsidRPr="00C578A4">
              <w:t>Twumasi Ankrah</w:t>
            </w:r>
          </w:p>
        </w:tc>
        <w:tc>
          <w:tcPr>
            <w:tcW w:w="2693" w:type="dxa"/>
          </w:tcPr>
          <w:p w14:paraId="4FFAA88F" w14:textId="77777777" w:rsidR="00087F9A" w:rsidRPr="00C578A4" w:rsidRDefault="00087F9A" w:rsidP="00087F9A">
            <w:pPr>
              <w:jc w:val="both"/>
            </w:pPr>
            <w:r w:rsidRPr="00C578A4">
              <w:t>PPAG</w:t>
            </w:r>
          </w:p>
        </w:tc>
        <w:tc>
          <w:tcPr>
            <w:tcW w:w="2268" w:type="dxa"/>
          </w:tcPr>
          <w:p w14:paraId="5E216810" w14:textId="77777777" w:rsidR="00087F9A" w:rsidRPr="00C578A4" w:rsidRDefault="00087F9A" w:rsidP="00087F9A">
            <w:pPr>
              <w:jc w:val="both"/>
            </w:pPr>
            <w:r w:rsidRPr="00C578A4">
              <w:t>PR / NGO</w:t>
            </w:r>
          </w:p>
        </w:tc>
      </w:tr>
      <w:tr w:rsidR="00087F9A" w:rsidRPr="00C578A4" w14:paraId="201D2505" w14:textId="77777777" w:rsidTr="00087F9A">
        <w:tc>
          <w:tcPr>
            <w:tcW w:w="704" w:type="dxa"/>
          </w:tcPr>
          <w:p w14:paraId="60B8590C" w14:textId="43EDF931" w:rsidR="00087F9A" w:rsidRPr="00C578A4" w:rsidRDefault="00F07886" w:rsidP="00087F9A">
            <w:pPr>
              <w:jc w:val="both"/>
            </w:pPr>
            <w:r>
              <w:t>13</w:t>
            </w:r>
          </w:p>
        </w:tc>
        <w:tc>
          <w:tcPr>
            <w:tcW w:w="3119" w:type="dxa"/>
          </w:tcPr>
          <w:p w14:paraId="1B3D1C3F" w14:textId="77777777" w:rsidR="00087F9A" w:rsidRPr="00C578A4" w:rsidRDefault="00087F9A" w:rsidP="00087F9A">
            <w:pPr>
              <w:jc w:val="both"/>
            </w:pPr>
            <w:r w:rsidRPr="00C578A4">
              <w:t>Anne-Marie Godwyll</w:t>
            </w:r>
          </w:p>
        </w:tc>
        <w:tc>
          <w:tcPr>
            <w:tcW w:w="2693" w:type="dxa"/>
          </w:tcPr>
          <w:p w14:paraId="12714C2B" w14:textId="77777777" w:rsidR="00087F9A" w:rsidRPr="00C578A4" w:rsidRDefault="00087F9A" w:rsidP="00087F9A">
            <w:pPr>
              <w:jc w:val="both"/>
            </w:pPr>
            <w:r w:rsidRPr="00C578A4">
              <w:t>PPAG</w:t>
            </w:r>
          </w:p>
        </w:tc>
        <w:tc>
          <w:tcPr>
            <w:tcW w:w="2268" w:type="dxa"/>
          </w:tcPr>
          <w:p w14:paraId="1F83D8B4" w14:textId="77777777" w:rsidR="00087F9A" w:rsidRPr="00C578A4" w:rsidRDefault="00087F9A" w:rsidP="00087F9A">
            <w:pPr>
              <w:jc w:val="both"/>
            </w:pPr>
            <w:r w:rsidRPr="00C578A4">
              <w:t>PR / NGO</w:t>
            </w:r>
          </w:p>
        </w:tc>
      </w:tr>
      <w:tr w:rsidR="00F9537A" w:rsidRPr="0092485A" w14:paraId="06AA8096" w14:textId="77777777" w:rsidTr="00087F9A">
        <w:tc>
          <w:tcPr>
            <w:tcW w:w="704" w:type="dxa"/>
          </w:tcPr>
          <w:p w14:paraId="1BAA8E5A" w14:textId="1B7DAD3C" w:rsidR="00F9537A" w:rsidRPr="0092485A" w:rsidRDefault="00F07886" w:rsidP="00F9537A">
            <w:pPr>
              <w:jc w:val="both"/>
            </w:pPr>
            <w:r>
              <w:t>14</w:t>
            </w:r>
          </w:p>
        </w:tc>
        <w:tc>
          <w:tcPr>
            <w:tcW w:w="3119" w:type="dxa"/>
          </w:tcPr>
          <w:p w14:paraId="7923E603" w14:textId="4F0E2118" w:rsidR="00F9537A" w:rsidRPr="0092485A" w:rsidRDefault="00D36D1B" w:rsidP="00F9537A">
            <w:pPr>
              <w:jc w:val="both"/>
            </w:pPr>
            <w:r>
              <w:t xml:space="preserve">Pearl </w:t>
            </w:r>
            <w:proofErr w:type="spellStart"/>
            <w:r>
              <w:t>Opare</w:t>
            </w:r>
            <w:proofErr w:type="spellEnd"/>
          </w:p>
        </w:tc>
        <w:tc>
          <w:tcPr>
            <w:tcW w:w="2693" w:type="dxa"/>
          </w:tcPr>
          <w:p w14:paraId="713C00B1" w14:textId="5BC2196A" w:rsidR="00F9537A" w:rsidRPr="0092485A" w:rsidRDefault="00F9537A" w:rsidP="00F9537A">
            <w:pPr>
              <w:jc w:val="both"/>
            </w:pPr>
            <w:r w:rsidRPr="00CB271F">
              <w:t>PPAG</w:t>
            </w:r>
          </w:p>
        </w:tc>
        <w:tc>
          <w:tcPr>
            <w:tcW w:w="2268" w:type="dxa"/>
          </w:tcPr>
          <w:p w14:paraId="25F36D08" w14:textId="4055EC52" w:rsidR="00F9537A" w:rsidRPr="0092485A" w:rsidRDefault="00F9537A" w:rsidP="00F9537A">
            <w:pPr>
              <w:jc w:val="both"/>
            </w:pPr>
            <w:r w:rsidRPr="00CB271F">
              <w:t>PR / NGO</w:t>
            </w:r>
          </w:p>
        </w:tc>
      </w:tr>
      <w:tr w:rsidR="00F9537A" w:rsidRPr="00C578A4" w14:paraId="1D8B9E68" w14:textId="77777777" w:rsidTr="00087F9A">
        <w:tc>
          <w:tcPr>
            <w:tcW w:w="704" w:type="dxa"/>
            <w:tcBorders>
              <w:top w:val="single" w:sz="4" w:space="0" w:color="000000" w:themeColor="text1"/>
              <w:bottom w:val="single" w:sz="4" w:space="0" w:color="000000" w:themeColor="text1"/>
              <w:right w:val="single" w:sz="4" w:space="0" w:color="000000" w:themeColor="text1"/>
            </w:tcBorders>
            <w:shd w:val="clear" w:color="auto" w:fill="auto"/>
          </w:tcPr>
          <w:p w14:paraId="021F823D" w14:textId="3F6BA7DF" w:rsidR="00F9537A" w:rsidRPr="00C578A4" w:rsidRDefault="00F07886" w:rsidP="00F9537A">
            <w:pPr>
              <w:rPr>
                <w:color w:val="000000" w:themeColor="text1"/>
              </w:rPr>
            </w:pPr>
            <w:r>
              <w:rPr>
                <w:color w:val="000000" w:themeColor="text1"/>
              </w:rPr>
              <w:t>15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D40F8B" w14:textId="77777777" w:rsidR="00F9537A" w:rsidRPr="00C578A4" w:rsidRDefault="00F9537A" w:rsidP="00F9537A">
            <w:pPr>
              <w:rPr>
                <w:rFonts w:ascii="Calibri" w:eastAsia="Calibri" w:hAnsi="Calibri" w:cs="Calibri"/>
                <w:color w:val="000000" w:themeColor="text1"/>
              </w:rPr>
            </w:pPr>
            <w:r w:rsidRPr="00C578A4">
              <w:rPr>
                <w:rFonts w:ascii="Calibri" w:eastAsia="Calibri" w:hAnsi="Calibri" w:cs="Calibri"/>
                <w:color w:val="000000" w:themeColor="text1"/>
              </w:rPr>
              <w:t xml:space="preserve">Patricia </w:t>
            </w:r>
            <w:proofErr w:type="spellStart"/>
            <w:r w:rsidRPr="00C578A4">
              <w:rPr>
                <w:rFonts w:ascii="Calibri" w:eastAsia="Calibri" w:hAnsi="Calibri" w:cs="Calibri"/>
                <w:color w:val="000000" w:themeColor="text1"/>
              </w:rPr>
              <w:t>Agyei</w:t>
            </w:r>
            <w:proofErr w:type="spell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64EF83" w14:textId="77777777" w:rsidR="00F9537A" w:rsidRPr="00C578A4" w:rsidRDefault="00F9537A" w:rsidP="00F9537A">
            <w:pPr>
              <w:rPr>
                <w:rFonts w:ascii="Calibri" w:eastAsia="Calibri" w:hAnsi="Calibri" w:cs="Calibri"/>
                <w:color w:val="000000" w:themeColor="text1"/>
              </w:rPr>
            </w:pPr>
            <w:r w:rsidRPr="00C578A4">
              <w:rPr>
                <w:rFonts w:ascii="Calibri" w:eastAsia="Calibri" w:hAnsi="Calibri" w:cs="Calibri"/>
                <w:color w:val="000000" w:themeColor="text1"/>
              </w:rPr>
              <w:t>ADRA</w:t>
            </w:r>
          </w:p>
        </w:tc>
        <w:tc>
          <w:tcPr>
            <w:tcW w:w="2268" w:type="dxa"/>
            <w:tcBorders>
              <w:top w:val="single" w:sz="4" w:space="0" w:color="000000" w:themeColor="text1"/>
              <w:left w:val="single" w:sz="4" w:space="0" w:color="000000" w:themeColor="text1"/>
              <w:bottom w:val="single" w:sz="4" w:space="0" w:color="000000" w:themeColor="text1"/>
            </w:tcBorders>
            <w:shd w:val="clear" w:color="auto" w:fill="auto"/>
          </w:tcPr>
          <w:p w14:paraId="0A453EEC" w14:textId="459974EF" w:rsidR="00F9537A" w:rsidRPr="00C578A4" w:rsidRDefault="00A4506E" w:rsidP="00F9537A">
            <w:pPr>
              <w:rPr>
                <w:color w:val="000000" w:themeColor="text1"/>
              </w:rPr>
            </w:pPr>
            <w:r>
              <w:rPr>
                <w:color w:val="000000" w:themeColor="text1"/>
              </w:rPr>
              <w:t xml:space="preserve">PR / </w:t>
            </w:r>
            <w:r w:rsidR="00F9537A" w:rsidRPr="00C578A4">
              <w:rPr>
                <w:color w:val="000000" w:themeColor="text1"/>
              </w:rPr>
              <w:t>NGO</w:t>
            </w:r>
          </w:p>
        </w:tc>
      </w:tr>
      <w:tr w:rsidR="00F9537A" w:rsidRPr="00C578A4" w14:paraId="41030CC3" w14:textId="77777777" w:rsidTr="00087F9A">
        <w:tc>
          <w:tcPr>
            <w:tcW w:w="704" w:type="dxa"/>
            <w:tcBorders>
              <w:top w:val="single" w:sz="4" w:space="0" w:color="000000" w:themeColor="text1"/>
              <w:bottom w:val="single" w:sz="4" w:space="0" w:color="000000" w:themeColor="text1"/>
              <w:right w:val="single" w:sz="4" w:space="0" w:color="000000" w:themeColor="text1"/>
            </w:tcBorders>
            <w:shd w:val="clear" w:color="auto" w:fill="auto"/>
          </w:tcPr>
          <w:p w14:paraId="72DC546C" w14:textId="2013DE05" w:rsidR="00F9537A" w:rsidRPr="00C578A4" w:rsidRDefault="00F07886" w:rsidP="00F9537A">
            <w:pPr>
              <w:rPr>
                <w:color w:val="000000" w:themeColor="text1"/>
              </w:rPr>
            </w:pPr>
            <w:r>
              <w:rPr>
                <w:color w:val="000000" w:themeColor="text1"/>
              </w:rPr>
              <w:t>16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9FB5B0" w14:textId="77777777" w:rsidR="00F9537A" w:rsidRPr="00C578A4" w:rsidRDefault="00F9537A" w:rsidP="00F9537A">
            <w:pPr>
              <w:rPr>
                <w:rFonts w:ascii="Calibri" w:eastAsia="Calibri" w:hAnsi="Calibri" w:cs="Calibri"/>
                <w:color w:val="000000" w:themeColor="text1"/>
              </w:rPr>
            </w:pPr>
            <w:r w:rsidRPr="00C578A4">
              <w:rPr>
                <w:rFonts w:ascii="Calibri" w:eastAsia="Calibri" w:hAnsi="Calibri" w:cs="Calibri"/>
                <w:color w:val="000000" w:themeColor="text1"/>
              </w:rPr>
              <w:t>Benjamin Kwarteng</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09DD8E" w14:textId="77777777" w:rsidR="00F9537A" w:rsidRPr="00C578A4" w:rsidRDefault="00F9537A" w:rsidP="00F9537A">
            <w:pPr>
              <w:jc w:val="both"/>
            </w:pPr>
            <w:r w:rsidRPr="00C578A4">
              <w:t>ADRA</w:t>
            </w:r>
          </w:p>
        </w:tc>
        <w:tc>
          <w:tcPr>
            <w:tcW w:w="2268" w:type="dxa"/>
            <w:tcBorders>
              <w:top w:val="single" w:sz="4" w:space="0" w:color="000000" w:themeColor="text1"/>
              <w:left w:val="single" w:sz="4" w:space="0" w:color="000000" w:themeColor="text1"/>
              <w:bottom w:val="single" w:sz="4" w:space="0" w:color="000000" w:themeColor="text1"/>
            </w:tcBorders>
            <w:shd w:val="clear" w:color="auto" w:fill="auto"/>
          </w:tcPr>
          <w:p w14:paraId="48856867" w14:textId="2B27DB2E" w:rsidR="00F9537A" w:rsidRPr="00C578A4" w:rsidRDefault="00A4506E" w:rsidP="00F9537A">
            <w:pPr>
              <w:jc w:val="both"/>
            </w:pPr>
            <w:r>
              <w:t xml:space="preserve">PR / </w:t>
            </w:r>
            <w:r w:rsidR="00F9537A" w:rsidRPr="00C578A4">
              <w:t>NGO</w:t>
            </w:r>
          </w:p>
        </w:tc>
      </w:tr>
      <w:tr w:rsidR="00F9537A" w:rsidRPr="0015018E" w14:paraId="2CA6EB99" w14:textId="77777777" w:rsidTr="00F9537A">
        <w:tc>
          <w:tcPr>
            <w:tcW w:w="704" w:type="dxa"/>
            <w:tcBorders>
              <w:top w:val="single" w:sz="4" w:space="0" w:color="000000" w:themeColor="text1"/>
              <w:bottom w:val="single" w:sz="4" w:space="0" w:color="000000" w:themeColor="text1"/>
              <w:right w:val="single" w:sz="4" w:space="0" w:color="000000" w:themeColor="text1"/>
            </w:tcBorders>
            <w:shd w:val="clear" w:color="auto" w:fill="auto"/>
          </w:tcPr>
          <w:p w14:paraId="74EE09AC" w14:textId="35392EA6" w:rsidR="00F9537A" w:rsidRPr="00CB271F" w:rsidRDefault="00F07886" w:rsidP="00F9537A">
            <w:pPr>
              <w:jc w:val="both"/>
            </w:pPr>
            <w:r>
              <w:t>17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F60431" w14:textId="77777777" w:rsidR="00F9537A" w:rsidRPr="00CB271F" w:rsidRDefault="00F9537A" w:rsidP="00F9537A">
            <w:pPr>
              <w:rPr>
                <w:rFonts w:ascii="Calibri" w:eastAsia="Calibri" w:hAnsi="Calibri" w:cs="Calibri"/>
                <w:color w:val="000000" w:themeColor="text1"/>
              </w:rPr>
            </w:pPr>
            <w:r w:rsidRPr="00CB271F">
              <w:rPr>
                <w:rFonts w:ascii="Calibri" w:eastAsia="Calibri" w:hAnsi="Calibri" w:cs="Calibri"/>
                <w:color w:val="000000" w:themeColor="text1"/>
              </w:rPr>
              <w:t>Henry Kwasi Addo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BBD9D" w14:textId="77777777" w:rsidR="00F9537A" w:rsidRPr="00CB271F" w:rsidRDefault="00F9537A" w:rsidP="00F9537A">
            <w:pPr>
              <w:jc w:val="both"/>
            </w:pPr>
            <w:r w:rsidRPr="00CB271F">
              <w:t>ADRA</w:t>
            </w:r>
          </w:p>
        </w:tc>
        <w:tc>
          <w:tcPr>
            <w:tcW w:w="2268" w:type="dxa"/>
            <w:tcBorders>
              <w:top w:val="single" w:sz="4" w:space="0" w:color="000000" w:themeColor="text1"/>
              <w:left w:val="single" w:sz="4" w:space="0" w:color="000000" w:themeColor="text1"/>
              <w:bottom w:val="single" w:sz="4" w:space="0" w:color="000000" w:themeColor="text1"/>
            </w:tcBorders>
            <w:shd w:val="clear" w:color="auto" w:fill="auto"/>
          </w:tcPr>
          <w:p w14:paraId="0C762CF2" w14:textId="33102BD5" w:rsidR="00F9537A" w:rsidRPr="00CB271F" w:rsidRDefault="00A4506E" w:rsidP="00F9537A">
            <w:pPr>
              <w:jc w:val="both"/>
            </w:pPr>
            <w:r>
              <w:t xml:space="preserve">PR / </w:t>
            </w:r>
            <w:r w:rsidR="00F9537A" w:rsidRPr="00CB271F">
              <w:t>NGO</w:t>
            </w:r>
          </w:p>
        </w:tc>
      </w:tr>
      <w:tr w:rsidR="00F9537A" w:rsidRPr="00F94773" w14:paraId="0B362725" w14:textId="77777777" w:rsidTr="00F9537A">
        <w:tc>
          <w:tcPr>
            <w:tcW w:w="704" w:type="dxa"/>
          </w:tcPr>
          <w:p w14:paraId="41FB23CF" w14:textId="6DBF5F0F" w:rsidR="00F9537A" w:rsidRPr="00CB271F" w:rsidRDefault="00F07886" w:rsidP="00F9537A">
            <w:pPr>
              <w:rPr>
                <w:color w:val="000000" w:themeColor="text1"/>
              </w:rPr>
            </w:pPr>
            <w:r>
              <w:rPr>
                <w:color w:val="000000" w:themeColor="text1"/>
              </w:rPr>
              <w:t>18</w:t>
            </w:r>
          </w:p>
        </w:tc>
        <w:tc>
          <w:tcPr>
            <w:tcW w:w="3119" w:type="dxa"/>
          </w:tcPr>
          <w:p w14:paraId="5A998F25" w14:textId="77777777" w:rsidR="00F9537A" w:rsidRPr="00CB271F" w:rsidRDefault="00F9537A" w:rsidP="00F9537A">
            <w:pPr>
              <w:rPr>
                <w:rFonts w:ascii="Calibri" w:eastAsia="Calibri" w:hAnsi="Calibri" w:cs="Calibri"/>
                <w:color w:val="000000" w:themeColor="text1"/>
              </w:rPr>
            </w:pPr>
            <w:r w:rsidRPr="00CB271F">
              <w:rPr>
                <w:rFonts w:ascii="Calibri" w:eastAsia="Calibri" w:hAnsi="Calibri" w:cs="Calibri"/>
                <w:color w:val="000000" w:themeColor="text1"/>
              </w:rPr>
              <w:t>Evans Opata</w:t>
            </w:r>
          </w:p>
        </w:tc>
        <w:tc>
          <w:tcPr>
            <w:tcW w:w="2693" w:type="dxa"/>
          </w:tcPr>
          <w:p w14:paraId="50155B34" w14:textId="77777777" w:rsidR="00F9537A" w:rsidRPr="00CB271F" w:rsidRDefault="00F9537A" w:rsidP="00F9537A">
            <w:pPr>
              <w:rPr>
                <w:rFonts w:ascii="Calibri" w:eastAsia="Calibri" w:hAnsi="Calibri" w:cs="Calibri"/>
                <w:color w:val="000000" w:themeColor="text1"/>
              </w:rPr>
            </w:pPr>
            <w:r w:rsidRPr="00CB271F">
              <w:rPr>
                <w:rFonts w:ascii="Calibri" w:eastAsia="Calibri" w:hAnsi="Calibri" w:cs="Calibri"/>
                <w:color w:val="000000" w:themeColor="text1"/>
              </w:rPr>
              <w:t>Coalition of NGOs in Malaria</w:t>
            </w:r>
          </w:p>
        </w:tc>
        <w:tc>
          <w:tcPr>
            <w:tcW w:w="2268" w:type="dxa"/>
          </w:tcPr>
          <w:p w14:paraId="5E58AEC8" w14:textId="77777777" w:rsidR="00F9537A" w:rsidRPr="00CB271F" w:rsidRDefault="00F9537A" w:rsidP="00F9537A">
            <w:pPr>
              <w:rPr>
                <w:color w:val="000000" w:themeColor="text1"/>
              </w:rPr>
            </w:pPr>
            <w:r w:rsidRPr="00CB271F">
              <w:rPr>
                <w:color w:val="000000" w:themeColor="text1"/>
              </w:rPr>
              <w:t>NGO</w:t>
            </w:r>
          </w:p>
        </w:tc>
      </w:tr>
      <w:tr w:rsidR="00F9537A" w:rsidRPr="00F94773" w14:paraId="2397D134" w14:textId="77777777" w:rsidTr="00F9537A">
        <w:tc>
          <w:tcPr>
            <w:tcW w:w="704" w:type="dxa"/>
          </w:tcPr>
          <w:p w14:paraId="6D230BD2" w14:textId="61AEAA99" w:rsidR="00F9537A" w:rsidRPr="00CB271F" w:rsidRDefault="00F07886" w:rsidP="00F9537A">
            <w:pPr>
              <w:jc w:val="both"/>
            </w:pPr>
            <w:r>
              <w:t>19</w:t>
            </w:r>
          </w:p>
        </w:tc>
        <w:tc>
          <w:tcPr>
            <w:tcW w:w="3119" w:type="dxa"/>
          </w:tcPr>
          <w:p w14:paraId="7489565F" w14:textId="77777777" w:rsidR="00F9537A" w:rsidRPr="00CB271F" w:rsidRDefault="00F9537A" w:rsidP="00F9537A">
            <w:pPr>
              <w:rPr>
                <w:rFonts w:ascii="Calibri" w:eastAsia="Calibri" w:hAnsi="Calibri" w:cs="Calibri"/>
                <w:color w:val="000000" w:themeColor="text1"/>
              </w:rPr>
            </w:pPr>
            <w:r w:rsidRPr="00CB271F">
              <w:rPr>
                <w:rFonts w:ascii="Calibri" w:eastAsia="Calibri" w:hAnsi="Calibri" w:cs="Calibri"/>
                <w:color w:val="000000" w:themeColor="text1"/>
              </w:rPr>
              <w:t>Cecilia Senoo</w:t>
            </w:r>
          </w:p>
        </w:tc>
        <w:tc>
          <w:tcPr>
            <w:tcW w:w="2693" w:type="dxa"/>
          </w:tcPr>
          <w:p w14:paraId="53C367AE" w14:textId="77777777" w:rsidR="00F9537A" w:rsidRPr="00CB271F" w:rsidRDefault="00F9537A" w:rsidP="00F9537A">
            <w:pPr>
              <w:rPr>
                <w:rFonts w:ascii="Calibri" w:eastAsia="Calibri" w:hAnsi="Calibri" w:cs="Calibri"/>
                <w:color w:val="000000" w:themeColor="text1"/>
              </w:rPr>
            </w:pPr>
            <w:r w:rsidRPr="00CB271F">
              <w:rPr>
                <w:rFonts w:ascii="Calibri" w:eastAsia="Calibri" w:hAnsi="Calibri" w:cs="Calibri"/>
                <w:color w:val="000000" w:themeColor="text1"/>
              </w:rPr>
              <w:t>SWAA</w:t>
            </w:r>
          </w:p>
        </w:tc>
        <w:tc>
          <w:tcPr>
            <w:tcW w:w="2268" w:type="dxa"/>
          </w:tcPr>
          <w:p w14:paraId="0A6D7114" w14:textId="77777777" w:rsidR="00F9537A" w:rsidRPr="00CB271F" w:rsidRDefault="00F9537A" w:rsidP="00F9537A">
            <w:pPr>
              <w:rPr>
                <w:color w:val="000000" w:themeColor="text1"/>
              </w:rPr>
            </w:pPr>
            <w:proofErr w:type="spellStart"/>
            <w:r w:rsidRPr="00CB271F">
              <w:rPr>
                <w:color w:val="000000" w:themeColor="text1"/>
              </w:rPr>
              <w:t>W&amp;Cig</w:t>
            </w:r>
            <w:proofErr w:type="spellEnd"/>
          </w:p>
        </w:tc>
      </w:tr>
      <w:tr w:rsidR="00F9537A" w14:paraId="54A518E8" w14:textId="77777777" w:rsidTr="00F9537A">
        <w:tc>
          <w:tcPr>
            <w:tcW w:w="704" w:type="dxa"/>
          </w:tcPr>
          <w:p w14:paraId="118427D4" w14:textId="04D39C02" w:rsidR="00F9537A" w:rsidRPr="00052CD1" w:rsidRDefault="00F07886" w:rsidP="00F9537A">
            <w:pPr>
              <w:rPr>
                <w:color w:val="000000" w:themeColor="text1"/>
              </w:rPr>
            </w:pPr>
            <w:r>
              <w:rPr>
                <w:color w:val="000000" w:themeColor="text1"/>
              </w:rPr>
              <w:t>20</w:t>
            </w:r>
          </w:p>
        </w:tc>
        <w:tc>
          <w:tcPr>
            <w:tcW w:w="3119" w:type="dxa"/>
          </w:tcPr>
          <w:p w14:paraId="15F8BB52" w14:textId="77777777" w:rsidR="00F9537A" w:rsidRPr="001E1B1B" w:rsidRDefault="00F9537A" w:rsidP="00F9537A">
            <w:pPr>
              <w:rPr>
                <w:rFonts w:ascii="Calibri" w:eastAsia="Calibri" w:hAnsi="Calibri" w:cs="Calibri"/>
                <w:color w:val="000000" w:themeColor="text1"/>
              </w:rPr>
            </w:pPr>
            <w:r w:rsidRPr="001E1B1B">
              <w:rPr>
                <w:rFonts w:ascii="Calibri" w:eastAsia="Calibri" w:hAnsi="Calibri" w:cs="Calibri"/>
                <w:color w:val="000000" w:themeColor="text1"/>
              </w:rPr>
              <w:t>Damaris Forson</w:t>
            </w:r>
          </w:p>
        </w:tc>
        <w:tc>
          <w:tcPr>
            <w:tcW w:w="2693" w:type="dxa"/>
          </w:tcPr>
          <w:p w14:paraId="02370153" w14:textId="77777777" w:rsidR="00F9537A" w:rsidRPr="001E1B1B" w:rsidRDefault="00F9537A" w:rsidP="00F9537A">
            <w:pPr>
              <w:rPr>
                <w:rFonts w:ascii="Calibri" w:eastAsia="Calibri" w:hAnsi="Calibri" w:cs="Calibri"/>
                <w:color w:val="000000" w:themeColor="text1"/>
              </w:rPr>
            </w:pPr>
            <w:r w:rsidRPr="001E1B1B">
              <w:rPr>
                <w:rFonts w:ascii="Calibri" w:eastAsia="Calibri" w:hAnsi="Calibri" w:cs="Calibri"/>
                <w:color w:val="000000" w:themeColor="text1"/>
              </w:rPr>
              <w:t>GHSC-PSM</w:t>
            </w:r>
          </w:p>
        </w:tc>
        <w:tc>
          <w:tcPr>
            <w:tcW w:w="2268" w:type="dxa"/>
          </w:tcPr>
          <w:p w14:paraId="133A7A0A" w14:textId="77777777" w:rsidR="00F9537A" w:rsidRPr="001E1B1B" w:rsidRDefault="00F9537A" w:rsidP="00F9537A">
            <w:pPr>
              <w:rPr>
                <w:color w:val="000000" w:themeColor="text1"/>
              </w:rPr>
            </w:pPr>
            <w:r w:rsidRPr="001E1B1B">
              <w:rPr>
                <w:color w:val="000000" w:themeColor="text1"/>
              </w:rPr>
              <w:t>Co-opted member</w:t>
            </w:r>
          </w:p>
        </w:tc>
      </w:tr>
      <w:tr w:rsidR="00F9537A" w14:paraId="17CE502F" w14:textId="77777777" w:rsidTr="00F9537A">
        <w:tc>
          <w:tcPr>
            <w:tcW w:w="704" w:type="dxa"/>
          </w:tcPr>
          <w:p w14:paraId="58AF9D0F" w14:textId="4514A5D5" w:rsidR="00F9537A" w:rsidRPr="00052CD1" w:rsidRDefault="00F07886" w:rsidP="00F9537A">
            <w:pPr>
              <w:rPr>
                <w:color w:val="000000" w:themeColor="text1"/>
              </w:rPr>
            </w:pPr>
            <w:r>
              <w:rPr>
                <w:color w:val="000000" w:themeColor="text1"/>
              </w:rPr>
              <w:t>21</w:t>
            </w:r>
          </w:p>
        </w:tc>
        <w:tc>
          <w:tcPr>
            <w:tcW w:w="3119" w:type="dxa"/>
          </w:tcPr>
          <w:p w14:paraId="64292489" w14:textId="77777777" w:rsidR="00F9537A" w:rsidRPr="00C578A4" w:rsidRDefault="00F9537A" w:rsidP="00F9537A">
            <w:pPr>
              <w:rPr>
                <w:rFonts w:ascii="Calibri" w:eastAsia="Calibri" w:hAnsi="Calibri" w:cs="Calibri"/>
                <w:color w:val="000000" w:themeColor="text1"/>
              </w:rPr>
            </w:pPr>
            <w:r w:rsidRPr="00C578A4">
              <w:rPr>
                <w:rFonts w:ascii="Calibri" w:eastAsia="Calibri" w:hAnsi="Calibri" w:cs="Calibri"/>
                <w:color w:val="000000" w:themeColor="text1"/>
              </w:rPr>
              <w:t>Mac-Darling Cob</w:t>
            </w:r>
            <w:r>
              <w:rPr>
                <w:rFonts w:ascii="Calibri" w:eastAsia="Calibri" w:hAnsi="Calibri" w:cs="Calibri"/>
                <w:color w:val="000000" w:themeColor="text1"/>
              </w:rPr>
              <w:t>b</w:t>
            </w:r>
            <w:r w:rsidRPr="00C578A4">
              <w:rPr>
                <w:rFonts w:ascii="Calibri" w:eastAsia="Calibri" w:hAnsi="Calibri" w:cs="Calibri"/>
                <w:color w:val="000000" w:themeColor="text1"/>
              </w:rPr>
              <w:t>inah</w:t>
            </w:r>
          </w:p>
        </w:tc>
        <w:tc>
          <w:tcPr>
            <w:tcW w:w="2693" w:type="dxa"/>
          </w:tcPr>
          <w:p w14:paraId="196B7EAD" w14:textId="77777777" w:rsidR="00F9537A" w:rsidRPr="00C578A4" w:rsidRDefault="00F9537A" w:rsidP="00F9537A">
            <w:pPr>
              <w:rPr>
                <w:rFonts w:ascii="Calibri" w:eastAsia="Calibri" w:hAnsi="Calibri" w:cs="Calibri"/>
                <w:color w:val="000000" w:themeColor="text1"/>
              </w:rPr>
            </w:pPr>
            <w:r w:rsidRPr="00C578A4">
              <w:rPr>
                <w:rFonts w:ascii="Calibri" w:eastAsia="Calibri" w:hAnsi="Calibri" w:cs="Calibri"/>
                <w:color w:val="000000" w:themeColor="text1"/>
              </w:rPr>
              <w:t>CEPE</w:t>
            </w:r>
            <w:r>
              <w:rPr>
                <w:rFonts w:ascii="Calibri" w:eastAsia="Calibri" w:hAnsi="Calibri" w:cs="Calibri"/>
                <w:color w:val="000000" w:themeColor="text1"/>
              </w:rPr>
              <w:t>H</w:t>
            </w:r>
            <w:r w:rsidRPr="00C578A4">
              <w:rPr>
                <w:rFonts w:ascii="Calibri" w:eastAsia="Calibri" w:hAnsi="Calibri" w:cs="Calibri"/>
                <w:color w:val="000000" w:themeColor="text1"/>
              </w:rPr>
              <w:t xml:space="preserve">RG </w:t>
            </w:r>
          </w:p>
        </w:tc>
        <w:tc>
          <w:tcPr>
            <w:tcW w:w="2268" w:type="dxa"/>
          </w:tcPr>
          <w:p w14:paraId="4BE783B2" w14:textId="77777777" w:rsidR="00F9537A" w:rsidRPr="00C578A4" w:rsidRDefault="00F9537A" w:rsidP="00F9537A">
            <w:pPr>
              <w:rPr>
                <w:color w:val="000000" w:themeColor="text1"/>
              </w:rPr>
            </w:pPr>
            <w:r w:rsidRPr="00C578A4">
              <w:rPr>
                <w:color w:val="000000" w:themeColor="text1"/>
              </w:rPr>
              <w:t>KAP</w:t>
            </w:r>
          </w:p>
        </w:tc>
      </w:tr>
      <w:tr w:rsidR="00F9537A" w14:paraId="5703075F" w14:textId="77777777" w:rsidTr="00F9537A">
        <w:tc>
          <w:tcPr>
            <w:tcW w:w="704" w:type="dxa"/>
          </w:tcPr>
          <w:p w14:paraId="60E6E2B4" w14:textId="442AC38E" w:rsidR="00F9537A" w:rsidRDefault="00F07886" w:rsidP="00F9537A">
            <w:pPr>
              <w:rPr>
                <w:color w:val="000000" w:themeColor="text1"/>
              </w:rPr>
            </w:pPr>
            <w:r>
              <w:rPr>
                <w:color w:val="000000" w:themeColor="text1"/>
              </w:rPr>
              <w:t>22</w:t>
            </w:r>
          </w:p>
        </w:tc>
        <w:tc>
          <w:tcPr>
            <w:tcW w:w="3119" w:type="dxa"/>
          </w:tcPr>
          <w:p w14:paraId="1494061C" w14:textId="77777777" w:rsidR="00F9537A" w:rsidRPr="001E1B1B" w:rsidRDefault="00F9537A" w:rsidP="00F9537A">
            <w:pPr>
              <w:rPr>
                <w:rFonts w:ascii="Calibri" w:eastAsia="Calibri" w:hAnsi="Calibri" w:cs="Calibri"/>
                <w:color w:val="000000" w:themeColor="text1"/>
              </w:rPr>
            </w:pPr>
            <w:r w:rsidRPr="001E1B1B">
              <w:rPr>
                <w:rFonts w:ascii="Calibri" w:eastAsia="Calibri" w:hAnsi="Calibri" w:cs="Calibri"/>
                <w:color w:val="000000" w:themeColor="text1"/>
              </w:rPr>
              <w:t>Helen Odido</w:t>
            </w:r>
          </w:p>
        </w:tc>
        <w:tc>
          <w:tcPr>
            <w:tcW w:w="2693" w:type="dxa"/>
          </w:tcPr>
          <w:p w14:paraId="0DBB172C" w14:textId="77777777" w:rsidR="00F9537A" w:rsidRPr="001E1B1B" w:rsidRDefault="00F9537A" w:rsidP="00F9537A">
            <w:pPr>
              <w:rPr>
                <w:rFonts w:ascii="Calibri" w:eastAsia="Calibri" w:hAnsi="Calibri" w:cs="Calibri"/>
                <w:color w:val="000000" w:themeColor="text1"/>
              </w:rPr>
            </w:pPr>
            <w:r w:rsidRPr="001E1B1B">
              <w:rPr>
                <w:rFonts w:ascii="Calibri" w:eastAsia="Calibri" w:hAnsi="Calibri" w:cs="Calibri"/>
                <w:color w:val="000000" w:themeColor="text1"/>
              </w:rPr>
              <w:t>UNAIDS</w:t>
            </w:r>
          </w:p>
        </w:tc>
        <w:tc>
          <w:tcPr>
            <w:tcW w:w="2268" w:type="dxa"/>
          </w:tcPr>
          <w:p w14:paraId="5D74B2E6" w14:textId="77777777" w:rsidR="00F9537A" w:rsidRPr="001E1B1B" w:rsidRDefault="00F9537A" w:rsidP="00F9537A">
            <w:pPr>
              <w:rPr>
                <w:color w:val="000000" w:themeColor="text1"/>
              </w:rPr>
            </w:pPr>
            <w:r>
              <w:rPr>
                <w:color w:val="000000" w:themeColor="text1"/>
              </w:rPr>
              <w:t>Co-opted member</w:t>
            </w:r>
          </w:p>
        </w:tc>
      </w:tr>
    </w:tbl>
    <w:p w14:paraId="6B4E6FAD" w14:textId="77777777" w:rsidR="005C4042" w:rsidRDefault="005C4042" w:rsidP="007D2F92">
      <w:pPr>
        <w:jc w:val="both"/>
      </w:pPr>
    </w:p>
    <w:p w14:paraId="3B1F3D47" w14:textId="77777777" w:rsidR="00167B82" w:rsidRPr="00167B82" w:rsidRDefault="00167B82" w:rsidP="007D2F92">
      <w:pPr>
        <w:jc w:val="both"/>
        <w:rPr>
          <w:b/>
        </w:rPr>
      </w:pPr>
      <w:r w:rsidRPr="00167B82">
        <w:rPr>
          <w:b/>
        </w:rPr>
        <w:t>Absence:</w:t>
      </w:r>
    </w:p>
    <w:tbl>
      <w:tblPr>
        <w:tblStyle w:val="TableGrid"/>
        <w:tblW w:w="0" w:type="auto"/>
        <w:tblLook w:val="04A0" w:firstRow="1" w:lastRow="0" w:firstColumn="1" w:lastColumn="0" w:noHBand="0" w:noVBand="1"/>
      </w:tblPr>
      <w:tblGrid>
        <w:gridCol w:w="562"/>
        <w:gridCol w:w="2694"/>
        <w:gridCol w:w="2126"/>
        <w:gridCol w:w="1984"/>
        <w:gridCol w:w="1843"/>
      </w:tblGrid>
      <w:tr w:rsidR="00167B82" w14:paraId="2DBF0381" w14:textId="77777777" w:rsidTr="00CA208F">
        <w:tc>
          <w:tcPr>
            <w:tcW w:w="562" w:type="dxa"/>
          </w:tcPr>
          <w:p w14:paraId="387EA955" w14:textId="77777777" w:rsidR="00167B82" w:rsidRPr="007B326F" w:rsidRDefault="00167B82" w:rsidP="00403A95">
            <w:pPr>
              <w:jc w:val="both"/>
              <w:rPr>
                <w:b/>
              </w:rPr>
            </w:pPr>
            <w:r w:rsidRPr="007B326F">
              <w:rPr>
                <w:b/>
              </w:rPr>
              <w:t xml:space="preserve">No. </w:t>
            </w:r>
          </w:p>
        </w:tc>
        <w:tc>
          <w:tcPr>
            <w:tcW w:w="2694" w:type="dxa"/>
          </w:tcPr>
          <w:p w14:paraId="6E32E1DD" w14:textId="77777777" w:rsidR="00167B82" w:rsidRPr="007B326F" w:rsidRDefault="00167B82" w:rsidP="00403A95">
            <w:pPr>
              <w:jc w:val="both"/>
              <w:rPr>
                <w:b/>
              </w:rPr>
            </w:pPr>
            <w:r w:rsidRPr="007B326F">
              <w:rPr>
                <w:b/>
              </w:rPr>
              <w:t>Name</w:t>
            </w:r>
          </w:p>
        </w:tc>
        <w:tc>
          <w:tcPr>
            <w:tcW w:w="2126" w:type="dxa"/>
          </w:tcPr>
          <w:p w14:paraId="310FE022" w14:textId="77777777" w:rsidR="00167B82" w:rsidRPr="007B326F" w:rsidRDefault="00167B82" w:rsidP="00403A95">
            <w:pPr>
              <w:jc w:val="both"/>
              <w:rPr>
                <w:b/>
              </w:rPr>
            </w:pPr>
            <w:r w:rsidRPr="007B326F">
              <w:rPr>
                <w:b/>
              </w:rPr>
              <w:t>Organization</w:t>
            </w:r>
          </w:p>
        </w:tc>
        <w:tc>
          <w:tcPr>
            <w:tcW w:w="1984" w:type="dxa"/>
          </w:tcPr>
          <w:p w14:paraId="49165423" w14:textId="77777777" w:rsidR="00167B82" w:rsidRPr="007B326F" w:rsidRDefault="00167B82" w:rsidP="00403A95">
            <w:pPr>
              <w:jc w:val="both"/>
              <w:rPr>
                <w:b/>
              </w:rPr>
            </w:pPr>
            <w:r w:rsidRPr="007B326F">
              <w:rPr>
                <w:b/>
              </w:rPr>
              <w:t>Sector</w:t>
            </w:r>
          </w:p>
        </w:tc>
        <w:tc>
          <w:tcPr>
            <w:tcW w:w="1843" w:type="dxa"/>
          </w:tcPr>
          <w:p w14:paraId="78A6B01B" w14:textId="77777777" w:rsidR="00167B82" w:rsidRPr="007B326F" w:rsidRDefault="00167B82" w:rsidP="00403A95">
            <w:pPr>
              <w:jc w:val="both"/>
              <w:rPr>
                <w:b/>
              </w:rPr>
            </w:pPr>
            <w:r>
              <w:rPr>
                <w:b/>
              </w:rPr>
              <w:t xml:space="preserve">Reason </w:t>
            </w:r>
          </w:p>
        </w:tc>
      </w:tr>
      <w:tr w:rsidR="0070476D" w14:paraId="7E4C7DE4" w14:textId="77777777" w:rsidTr="00CD0480">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14:paraId="13F643E8" w14:textId="77777777" w:rsidR="0070476D" w:rsidRPr="00052CD1" w:rsidRDefault="0070476D" w:rsidP="0070476D">
            <w:pPr>
              <w:rPr>
                <w:color w:val="000000" w:themeColor="text1"/>
              </w:rPr>
            </w:pPr>
            <w:r>
              <w:rPr>
                <w:color w:val="000000" w:themeColor="text1"/>
              </w:rPr>
              <w:t>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97DF2A" w14:textId="2C3FDF83" w:rsidR="0070476D" w:rsidRPr="001E1B1B" w:rsidRDefault="0070476D" w:rsidP="0070476D">
            <w:pPr>
              <w:rPr>
                <w:rFonts w:ascii="Calibri" w:eastAsia="Calibri" w:hAnsi="Calibri" w:cs="Calibri"/>
                <w:color w:val="000000" w:themeColor="text1"/>
              </w:rPr>
            </w:pPr>
            <w:r w:rsidRPr="00CB271F">
              <w:rPr>
                <w:rFonts w:ascii="Calibri" w:eastAsia="Calibri" w:hAnsi="Calibri" w:cs="Calibri"/>
                <w:color w:val="000000" w:themeColor="text1"/>
              </w:rPr>
              <w:t>Jonathan Tetteh-Kwao Teye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593DD5" w14:textId="296E6A6D" w:rsidR="0070476D" w:rsidRPr="001E1B1B" w:rsidRDefault="0070476D" w:rsidP="0070476D">
            <w:pPr>
              <w:rPr>
                <w:rFonts w:ascii="Calibri" w:eastAsia="Calibri" w:hAnsi="Calibri" w:cs="Calibri"/>
                <w:color w:val="000000" w:themeColor="text1"/>
              </w:rPr>
            </w:pPr>
            <w:r w:rsidRPr="00CB271F">
              <w:rPr>
                <w:rFonts w:ascii="Calibri" w:eastAsia="Calibri" w:hAnsi="Calibri" w:cs="Calibri"/>
                <w:color w:val="000000" w:themeColor="text1"/>
              </w:rPr>
              <w:t>Dream Weaver Organization</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14:paraId="34A5B340" w14:textId="0BF5962B" w:rsidR="0070476D" w:rsidRPr="001E1B1B" w:rsidRDefault="0070476D" w:rsidP="0070476D">
            <w:pPr>
              <w:rPr>
                <w:color w:val="000000" w:themeColor="text1"/>
              </w:rPr>
            </w:pPr>
            <w:r w:rsidRPr="00CB271F">
              <w:rPr>
                <w:color w:val="000000" w:themeColor="text1"/>
              </w:rPr>
              <w:t>Co-opted member</w:t>
            </w:r>
          </w:p>
        </w:tc>
        <w:tc>
          <w:tcPr>
            <w:tcW w:w="1843" w:type="dxa"/>
            <w:tcBorders>
              <w:top w:val="single" w:sz="4" w:space="0" w:color="000000" w:themeColor="text1"/>
              <w:left w:val="single" w:sz="4" w:space="0" w:color="000000" w:themeColor="text1"/>
              <w:bottom w:val="single" w:sz="4" w:space="0" w:color="000000" w:themeColor="text1"/>
            </w:tcBorders>
          </w:tcPr>
          <w:p w14:paraId="53DA71CC" w14:textId="7F13A355" w:rsidR="0070476D" w:rsidRDefault="0070476D" w:rsidP="0070476D">
            <w:pPr>
              <w:rPr>
                <w:color w:val="000000" w:themeColor="text1"/>
              </w:rPr>
            </w:pPr>
          </w:p>
        </w:tc>
      </w:tr>
      <w:tr w:rsidR="0070476D" w14:paraId="592BB20A" w14:textId="77777777"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14:paraId="57868B6A" w14:textId="77777777" w:rsidR="0070476D" w:rsidRPr="00052CD1" w:rsidRDefault="0070476D" w:rsidP="0070476D">
            <w:pPr>
              <w:rPr>
                <w:color w:val="000000" w:themeColor="text1"/>
              </w:rPr>
            </w:pPr>
            <w:r>
              <w:rPr>
                <w:color w:val="000000" w:themeColor="text1"/>
              </w:rPr>
              <w:t>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9F3773" w14:textId="6B8DB2BA" w:rsidR="0070476D" w:rsidRPr="001E1B1B" w:rsidRDefault="0070476D" w:rsidP="0070476D">
            <w:pPr>
              <w:rPr>
                <w:rFonts w:ascii="Calibri" w:eastAsia="Calibri" w:hAnsi="Calibri" w:cs="Calibri"/>
                <w:color w:val="000000" w:themeColor="text1"/>
              </w:rPr>
            </w:pPr>
            <w:r w:rsidRPr="00CB271F">
              <w:rPr>
                <w:rFonts w:ascii="Calibri" w:eastAsia="Calibri" w:hAnsi="Calibri" w:cs="Calibri"/>
                <w:color w:val="000000" w:themeColor="text1"/>
              </w:rPr>
              <w:t>Genevieve Dorbayi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1F1DBA" w14:textId="360E80EF" w:rsidR="0070476D" w:rsidRPr="001E1B1B" w:rsidRDefault="0070476D" w:rsidP="0070476D">
            <w:pPr>
              <w:rPr>
                <w:rFonts w:ascii="Calibri" w:eastAsia="Calibri" w:hAnsi="Calibri" w:cs="Calibri"/>
                <w:color w:val="000000" w:themeColor="text1"/>
              </w:rPr>
            </w:pPr>
            <w:r w:rsidRPr="00CB271F">
              <w:rPr>
                <w:rFonts w:ascii="Calibri" w:eastAsia="Calibri" w:hAnsi="Calibri" w:cs="Calibri"/>
                <w:color w:val="000000" w:themeColor="text1"/>
              </w:rPr>
              <w:t>TB Voice</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14:paraId="16C45871" w14:textId="657511EF" w:rsidR="0070476D" w:rsidRPr="001E1B1B" w:rsidRDefault="0070476D" w:rsidP="0070476D">
            <w:pPr>
              <w:rPr>
                <w:color w:val="000000" w:themeColor="text1"/>
              </w:rPr>
            </w:pPr>
            <w:r w:rsidRPr="00CB271F">
              <w:rPr>
                <w:color w:val="000000" w:themeColor="text1"/>
              </w:rPr>
              <w:t>PLWD</w:t>
            </w:r>
          </w:p>
        </w:tc>
        <w:tc>
          <w:tcPr>
            <w:tcW w:w="1843" w:type="dxa"/>
            <w:tcBorders>
              <w:top w:val="single" w:sz="4" w:space="0" w:color="000000" w:themeColor="text1"/>
              <w:left w:val="single" w:sz="4" w:space="0" w:color="000000" w:themeColor="text1"/>
              <w:bottom w:val="single" w:sz="4" w:space="0" w:color="000000" w:themeColor="text1"/>
            </w:tcBorders>
          </w:tcPr>
          <w:p w14:paraId="0581A1E0" w14:textId="066666EB" w:rsidR="0070476D" w:rsidRDefault="0070476D" w:rsidP="0070476D">
            <w:pPr>
              <w:rPr>
                <w:color w:val="000000" w:themeColor="text1"/>
              </w:rPr>
            </w:pPr>
          </w:p>
        </w:tc>
      </w:tr>
      <w:tr w:rsidR="00F07886" w14:paraId="19FFEC23" w14:textId="77777777"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14:paraId="2DAF3CB9" w14:textId="1C4EF146" w:rsidR="00F07886" w:rsidRDefault="00F07886" w:rsidP="00F07886">
            <w:pPr>
              <w:rPr>
                <w:color w:val="000000" w:themeColor="text1"/>
              </w:rPr>
            </w:pPr>
            <w:r>
              <w:rPr>
                <w:color w:val="000000" w:themeColor="text1"/>
              </w:rPr>
              <w:t>3</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B95575" w14:textId="5826A743" w:rsidR="00F07886" w:rsidRPr="00CB271F" w:rsidRDefault="00F07886" w:rsidP="00F07886">
            <w:pPr>
              <w:rPr>
                <w:rFonts w:ascii="Calibri" w:eastAsia="Calibri" w:hAnsi="Calibri" w:cs="Calibri"/>
                <w:color w:val="000000" w:themeColor="text1"/>
              </w:rPr>
            </w:pPr>
            <w:r w:rsidRPr="00CB271F">
              <w:rPr>
                <w:rFonts w:ascii="Calibri" w:eastAsia="Calibri" w:hAnsi="Calibri" w:cs="Calibri"/>
                <w:color w:val="000000" w:themeColor="text1"/>
              </w:rPr>
              <w:t>Edith Andrews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103195" w14:textId="5DEBA282" w:rsidR="00F07886" w:rsidRPr="00CB271F" w:rsidRDefault="00F07886" w:rsidP="00F07886">
            <w:pPr>
              <w:rPr>
                <w:rFonts w:ascii="Calibri" w:eastAsia="Calibri" w:hAnsi="Calibri" w:cs="Calibri"/>
                <w:color w:val="000000" w:themeColor="text1"/>
              </w:rPr>
            </w:pPr>
            <w:r w:rsidRPr="00CB271F">
              <w:rPr>
                <w:rFonts w:ascii="Calibri" w:eastAsia="Calibri" w:hAnsi="Calibri" w:cs="Calibri"/>
                <w:color w:val="000000" w:themeColor="text1"/>
              </w:rPr>
              <w:t>WHO</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14:paraId="2B4B174B" w14:textId="33C64805" w:rsidR="00F07886" w:rsidRPr="00CB271F" w:rsidRDefault="00F07886" w:rsidP="00F07886">
            <w:pPr>
              <w:rPr>
                <w:color w:val="000000" w:themeColor="text1"/>
              </w:rPr>
            </w:pPr>
            <w:r w:rsidRPr="00CB271F">
              <w:rPr>
                <w:color w:val="000000" w:themeColor="text1"/>
              </w:rPr>
              <w:t>Co-opted member</w:t>
            </w:r>
          </w:p>
        </w:tc>
        <w:tc>
          <w:tcPr>
            <w:tcW w:w="1843" w:type="dxa"/>
            <w:tcBorders>
              <w:top w:val="single" w:sz="4" w:space="0" w:color="000000" w:themeColor="text1"/>
              <w:left w:val="single" w:sz="4" w:space="0" w:color="000000" w:themeColor="text1"/>
              <w:bottom w:val="single" w:sz="4" w:space="0" w:color="000000" w:themeColor="text1"/>
            </w:tcBorders>
          </w:tcPr>
          <w:p w14:paraId="7AC95CF4" w14:textId="77777777" w:rsidR="00F07886" w:rsidRDefault="00F07886" w:rsidP="00F07886">
            <w:pPr>
              <w:rPr>
                <w:color w:val="000000" w:themeColor="text1"/>
              </w:rPr>
            </w:pPr>
          </w:p>
        </w:tc>
      </w:tr>
      <w:tr w:rsidR="00F07886" w14:paraId="7866D6E4" w14:textId="77777777" w:rsidTr="0047774B">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14:paraId="0A12B8FC" w14:textId="1B8ADB6E" w:rsidR="00F07886" w:rsidRDefault="00F07886" w:rsidP="00F07886">
            <w:pPr>
              <w:rPr>
                <w:color w:val="000000" w:themeColor="text1"/>
              </w:rPr>
            </w:pPr>
            <w:r>
              <w:rPr>
                <w:color w:val="000000" w:themeColor="text1"/>
              </w:rPr>
              <w:t>4</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4F4CDA" w14:textId="4F5B96D7" w:rsidR="00F07886" w:rsidRPr="00CB271F" w:rsidRDefault="00F07886" w:rsidP="00F07886">
            <w:pPr>
              <w:rPr>
                <w:rFonts w:ascii="Calibri" w:eastAsia="Calibri" w:hAnsi="Calibri" w:cs="Calibri"/>
                <w:color w:val="000000" w:themeColor="text1"/>
              </w:rPr>
            </w:pPr>
            <w:r w:rsidRPr="001E1B1B">
              <w:rPr>
                <w:rFonts w:ascii="Calibri" w:eastAsia="Calibri" w:hAnsi="Calibri" w:cs="Calibri"/>
                <w:color w:val="000000" w:themeColor="text1"/>
              </w:rPr>
              <w:t>Dr Felicia Owusu-Antwi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440E99" w14:textId="07B69FD5" w:rsidR="00F07886" w:rsidRPr="00CB271F" w:rsidRDefault="00F07886" w:rsidP="00F07886">
            <w:pPr>
              <w:rPr>
                <w:rFonts w:ascii="Calibri" w:eastAsia="Calibri" w:hAnsi="Calibri" w:cs="Calibri"/>
                <w:color w:val="000000" w:themeColor="text1"/>
              </w:rPr>
            </w:pPr>
            <w:r w:rsidRPr="001E1B1B">
              <w:rPr>
                <w:rFonts w:ascii="Calibri" w:eastAsia="Calibri" w:hAnsi="Calibri" w:cs="Calibri"/>
                <w:color w:val="000000" w:themeColor="text1"/>
              </w:rPr>
              <w:t>WHO</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14:paraId="59F107C1" w14:textId="041E6D2C" w:rsidR="00F07886" w:rsidRPr="00CB271F" w:rsidRDefault="00F07886" w:rsidP="00F07886">
            <w:pPr>
              <w:rPr>
                <w:color w:val="000000" w:themeColor="text1"/>
              </w:rPr>
            </w:pPr>
            <w:r>
              <w:rPr>
                <w:color w:val="000000" w:themeColor="text1"/>
              </w:rPr>
              <w:t>Co-opted member</w:t>
            </w:r>
          </w:p>
        </w:tc>
        <w:tc>
          <w:tcPr>
            <w:tcW w:w="1843" w:type="dxa"/>
            <w:tcBorders>
              <w:top w:val="single" w:sz="4" w:space="0" w:color="000000" w:themeColor="text1"/>
              <w:left w:val="single" w:sz="4" w:space="0" w:color="000000" w:themeColor="text1"/>
              <w:bottom w:val="single" w:sz="4" w:space="0" w:color="000000" w:themeColor="text1"/>
            </w:tcBorders>
          </w:tcPr>
          <w:p w14:paraId="0EC360D7" w14:textId="77777777" w:rsidR="00F07886" w:rsidRDefault="00F07886" w:rsidP="00F07886">
            <w:pPr>
              <w:rPr>
                <w:color w:val="000000" w:themeColor="text1"/>
              </w:rPr>
            </w:pPr>
          </w:p>
        </w:tc>
      </w:tr>
    </w:tbl>
    <w:p w14:paraId="7E73F6D7" w14:textId="77777777" w:rsidR="002A6CB3" w:rsidRDefault="002A6CB3">
      <w:pPr>
        <w:rPr>
          <w:b/>
          <w:sz w:val="24"/>
          <w:szCs w:val="24"/>
        </w:rPr>
      </w:pPr>
    </w:p>
    <w:p w14:paraId="1FF06CEA" w14:textId="77777777" w:rsidR="00F957F5" w:rsidRPr="007D3EA9" w:rsidRDefault="00F957F5" w:rsidP="000811C0">
      <w:pPr>
        <w:pStyle w:val="ListParagraph"/>
        <w:numPr>
          <w:ilvl w:val="0"/>
          <w:numId w:val="1"/>
        </w:numPr>
        <w:spacing w:before="360"/>
        <w:contextualSpacing w:val="0"/>
        <w:jc w:val="both"/>
        <w:rPr>
          <w:b/>
          <w:color w:val="C00000"/>
          <w:sz w:val="24"/>
          <w:szCs w:val="24"/>
        </w:rPr>
      </w:pPr>
      <w:r w:rsidRPr="007D3EA9">
        <w:rPr>
          <w:b/>
          <w:color w:val="C00000"/>
          <w:sz w:val="24"/>
          <w:szCs w:val="24"/>
        </w:rPr>
        <w:t>Opening:</w:t>
      </w:r>
    </w:p>
    <w:p w14:paraId="658F153D" w14:textId="5A394EC9" w:rsidR="00F957F5" w:rsidRDefault="00F957F5" w:rsidP="00F957F5">
      <w:pPr>
        <w:jc w:val="both"/>
      </w:pPr>
      <w:r>
        <w:t xml:space="preserve">The meeting started at about </w:t>
      </w:r>
      <w:r w:rsidR="00C40166">
        <w:t>9:25</w:t>
      </w:r>
      <w:r w:rsidR="0034331D">
        <w:t xml:space="preserve"> </w:t>
      </w:r>
      <w:r w:rsidR="00F86DF7">
        <w:t>am</w:t>
      </w:r>
      <w:r w:rsidR="001E1B1B">
        <w:t xml:space="preserve"> with an internal session </w:t>
      </w:r>
      <w:r w:rsidR="006776F1">
        <w:t xml:space="preserve">for OC members only </w:t>
      </w:r>
      <w:r w:rsidR="001E1B1B">
        <w:t xml:space="preserve">that lasted until </w:t>
      </w:r>
      <w:r w:rsidR="001E1B1B" w:rsidRPr="008A4D0C">
        <w:t>1</w:t>
      </w:r>
      <w:r w:rsidR="008A4D0C" w:rsidRPr="008A4D0C">
        <w:t>0</w:t>
      </w:r>
      <w:r w:rsidR="001E1B1B" w:rsidRPr="008A4D0C">
        <w:t>:</w:t>
      </w:r>
      <w:r w:rsidR="008A4D0C">
        <w:t>00</w:t>
      </w:r>
      <w:r w:rsidR="001E1B1B">
        <w:t>, followed by the review of the five HIV/T</w:t>
      </w:r>
      <w:r w:rsidR="0053756C">
        <w:t>B</w:t>
      </w:r>
      <w:r w:rsidR="001E1B1B">
        <w:t xml:space="preserve"> dashboards.</w:t>
      </w:r>
    </w:p>
    <w:p w14:paraId="3D2EA2E5" w14:textId="77777777" w:rsidR="002A6CB3" w:rsidRDefault="00403A95" w:rsidP="000811C0">
      <w:pPr>
        <w:numPr>
          <w:ilvl w:val="0"/>
          <w:numId w:val="6"/>
        </w:numPr>
        <w:spacing w:after="0"/>
        <w:jc w:val="both"/>
        <w:rPr>
          <w:b/>
        </w:rPr>
      </w:pPr>
      <w:r w:rsidRPr="00336704">
        <w:rPr>
          <w:b/>
        </w:rPr>
        <w:t>Conf</w:t>
      </w:r>
      <w:r w:rsidR="00336704" w:rsidRPr="00336704">
        <w:rPr>
          <w:b/>
        </w:rPr>
        <w:t>lict of interest declaration</w:t>
      </w:r>
    </w:p>
    <w:p w14:paraId="412C0DF2" w14:textId="614840B8" w:rsidR="00BF2B95" w:rsidRPr="00754E66" w:rsidRDefault="00754E66" w:rsidP="006776F1">
      <w:pPr>
        <w:ind w:left="360"/>
        <w:jc w:val="both"/>
      </w:pPr>
      <w:r w:rsidRPr="00754E66">
        <w:t>Annekatrin El Oumrany</w:t>
      </w:r>
      <w:r>
        <w:t xml:space="preserve"> inquired with </w:t>
      </w:r>
      <w:r w:rsidR="00BF2B95">
        <w:t>the OC members if anyone wish</w:t>
      </w:r>
      <w:r w:rsidR="00E01D0B">
        <w:t>es</w:t>
      </w:r>
      <w:r w:rsidR="00BF2B95">
        <w:t xml:space="preserve"> to declare actual or potential conflict of interest related to the topics to be discussed during the meeting</w:t>
      </w:r>
      <w:r w:rsidR="0070476D">
        <w:t xml:space="preserve">. Mac-Darling reminded the </w:t>
      </w:r>
      <w:r w:rsidR="0070476D">
        <w:lastRenderedPageBreak/>
        <w:t>OC members that his organization is a sub recipient of GAC. Other than that no conflict of interest was declared.</w:t>
      </w:r>
      <w:r w:rsidR="00BF2B95">
        <w:t xml:space="preserve"> </w:t>
      </w:r>
    </w:p>
    <w:p w14:paraId="0E08DCE4" w14:textId="328A6344" w:rsidR="00FC4D31" w:rsidRDefault="00F9537A" w:rsidP="000811C0">
      <w:pPr>
        <w:pStyle w:val="ListParagraph"/>
        <w:numPr>
          <w:ilvl w:val="0"/>
          <w:numId w:val="6"/>
        </w:numPr>
        <w:spacing w:after="0"/>
        <w:jc w:val="both"/>
        <w:rPr>
          <w:b/>
        </w:rPr>
      </w:pPr>
      <w:r>
        <w:rPr>
          <w:b/>
        </w:rPr>
        <w:t>Findings of the HIV Sentinel Survey 2016</w:t>
      </w:r>
    </w:p>
    <w:p w14:paraId="050EBF25" w14:textId="5F1A06C2" w:rsidR="005D3F3B" w:rsidRPr="005D3F3B" w:rsidRDefault="0070476D" w:rsidP="006776F1">
      <w:pPr>
        <w:ind w:left="360"/>
        <w:jc w:val="both"/>
      </w:pPr>
      <w:r>
        <w:t xml:space="preserve">Annekatrin El Oumrany informed the OC members that </w:t>
      </w:r>
      <w:r w:rsidR="00576FEC">
        <w:t xml:space="preserve">according to HSS 2016, HIV prevalence among pregnant women has increased from 1.6% (2014) over 1.8% (2015) to 2.4% in 2016. The most striking findings were that the prevalence gap between urban and rural areas is narrowing, in some age groups rural prevalence </w:t>
      </w:r>
      <w:r w:rsidR="002D74BE">
        <w:t xml:space="preserve">even </w:t>
      </w:r>
      <w:r w:rsidR="00576FEC">
        <w:t>exceeding urban prevalence. While prevalence in the 15-29 years age group is relatively stable, the older age groups experience an important increase. Furthermore, regions that are currently NOT high-pr</w:t>
      </w:r>
      <w:r w:rsidR="00EE331A">
        <w:t>iority</w:t>
      </w:r>
      <w:r w:rsidR="00576FEC">
        <w:t xml:space="preserve"> regions</w:t>
      </w:r>
      <w:r w:rsidR="00EE331A">
        <w:t xml:space="preserve"> are now the ones with the highest prevalence (BAR, VR, increase by 1%), and also UWR is now among the high prevalence regions with 2.5% (increase by 1.2%). On the other hand three high priority regions show a significant </w:t>
      </w:r>
      <w:r w:rsidR="002D74BE">
        <w:t xml:space="preserve">reduction </w:t>
      </w:r>
      <w:r w:rsidR="00EE331A">
        <w:t>(</w:t>
      </w:r>
      <w:r w:rsidR="002D74BE">
        <w:t xml:space="preserve">GAR </w:t>
      </w:r>
      <w:r w:rsidR="00EE331A">
        <w:t xml:space="preserve">-0.8%) </w:t>
      </w:r>
      <w:r w:rsidR="002D74BE">
        <w:t>or stable prevalence</w:t>
      </w:r>
      <w:r w:rsidR="00EE331A">
        <w:t xml:space="preserve"> (</w:t>
      </w:r>
      <w:r w:rsidR="002D74BE">
        <w:t xml:space="preserve">ER and AR </w:t>
      </w:r>
      <w:r w:rsidR="00EE331A">
        <w:t xml:space="preserve">-0.1%).  </w:t>
      </w:r>
      <w:r w:rsidR="00BF2B95">
        <w:t xml:space="preserve"> </w:t>
      </w:r>
    </w:p>
    <w:p w14:paraId="21C79748" w14:textId="3460DE2E" w:rsidR="00FC4D31" w:rsidRDefault="00F9537A" w:rsidP="000811C0">
      <w:pPr>
        <w:pStyle w:val="ListParagraph"/>
        <w:numPr>
          <w:ilvl w:val="0"/>
          <w:numId w:val="6"/>
        </w:numPr>
        <w:spacing w:after="0"/>
        <w:jc w:val="both"/>
        <w:rPr>
          <w:b/>
        </w:rPr>
      </w:pPr>
      <w:r>
        <w:rPr>
          <w:b/>
        </w:rPr>
        <w:t>Funding requests HIV/TB and RSSH / Implementation arrangements</w:t>
      </w:r>
    </w:p>
    <w:p w14:paraId="01035869" w14:textId="4C30F891" w:rsidR="00E32D15" w:rsidRPr="00E32D15" w:rsidRDefault="00EE331A" w:rsidP="006776F1">
      <w:pPr>
        <w:ind w:left="360"/>
        <w:jc w:val="both"/>
      </w:pPr>
      <w:r>
        <w:t xml:space="preserve">Annekatrin El Oumrany provided a short overview on the content of the HIV/TB and RSSH funding requests as well as the proposed implementation arrangements. The same information can be found on </w:t>
      </w:r>
      <w:hyperlink r:id="rId8" w:history="1">
        <w:r w:rsidRPr="008D703F">
          <w:rPr>
            <w:rStyle w:val="Hyperlink"/>
          </w:rPr>
          <w:t>http://www.ccmghana.net/index.php/funding-request</w:t>
        </w:r>
      </w:hyperlink>
      <w:r>
        <w:t>.</w:t>
      </w:r>
      <w:r w:rsidR="00E32D15">
        <w:t xml:space="preserve">   </w:t>
      </w:r>
    </w:p>
    <w:p w14:paraId="786370E9" w14:textId="0DBCABD8" w:rsidR="00336704" w:rsidRDefault="007936F3" w:rsidP="000811C0">
      <w:pPr>
        <w:numPr>
          <w:ilvl w:val="0"/>
          <w:numId w:val="6"/>
        </w:numPr>
        <w:spacing w:after="0"/>
        <w:jc w:val="both"/>
        <w:rPr>
          <w:b/>
        </w:rPr>
      </w:pPr>
      <w:r>
        <w:rPr>
          <w:b/>
        </w:rPr>
        <w:t>Feedback from the field</w:t>
      </w:r>
      <w:r w:rsidR="00F9537A">
        <w:rPr>
          <w:b/>
        </w:rPr>
        <w:t xml:space="preserve"> </w:t>
      </w:r>
    </w:p>
    <w:p w14:paraId="141DA1B3" w14:textId="460052B9" w:rsidR="00CF4C14" w:rsidRDefault="00EE331A" w:rsidP="006776F1">
      <w:pPr>
        <w:ind w:left="360"/>
        <w:jc w:val="both"/>
      </w:pPr>
      <w:r>
        <w:t xml:space="preserve">According to a group of Non State Actors (NSAs), Tema Hospital provided patients recently with ARVs expired in </w:t>
      </w:r>
      <w:r w:rsidR="00C46B7B">
        <w:t>November 2016 due to the shortage of the same drug. The issue will be discussed in the meeting with NACP.</w:t>
      </w:r>
    </w:p>
    <w:p w14:paraId="4FD0FEEF" w14:textId="5F8AE57A" w:rsidR="00CF4C14" w:rsidRDefault="00C46B7B" w:rsidP="000811C0">
      <w:pPr>
        <w:numPr>
          <w:ilvl w:val="0"/>
          <w:numId w:val="6"/>
        </w:numPr>
        <w:spacing w:after="0"/>
        <w:jc w:val="both"/>
        <w:rPr>
          <w:b/>
        </w:rPr>
      </w:pPr>
      <w:r>
        <w:rPr>
          <w:b/>
        </w:rPr>
        <w:t>N</w:t>
      </w:r>
      <w:r w:rsidR="00CF4C14">
        <w:rPr>
          <w:b/>
        </w:rPr>
        <w:t>ext site visits</w:t>
      </w:r>
    </w:p>
    <w:p w14:paraId="1FD0E56D" w14:textId="1F4C37F1" w:rsidR="00CF4C14" w:rsidRDefault="00C46B7B" w:rsidP="00CF4C14">
      <w:pPr>
        <w:pStyle w:val="ListParagraph"/>
        <w:spacing w:after="0"/>
        <w:ind w:left="360"/>
        <w:jc w:val="both"/>
      </w:pPr>
      <w:r>
        <w:t>The OC decided to organize the next site visit to Volta Region to get more background information on the significant increase in HIV prevalence and the implications for the region</w:t>
      </w:r>
      <w:r w:rsidR="00CF4C14">
        <w:t xml:space="preserve">. </w:t>
      </w:r>
      <w:r w:rsidR="00FA54F4">
        <w:t>Another site visit is planned to one or possibly more MSM sites in GAR.</w:t>
      </w:r>
    </w:p>
    <w:p w14:paraId="53484B1D" w14:textId="302B620F" w:rsidR="00C46B7B" w:rsidRDefault="00C46B7B">
      <w:pPr>
        <w:rPr>
          <w:b/>
          <w:color w:val="C00000"/>
          <w:sz w:val="24"/>
          <w:szCs w:val="24"/>
        </w:rPr>
      </w:pPr>
    </w:p>
    <w:p w14:paraId="5622F8C0" w14:textId="258AA77E" w:rsidR="001B26C1" w:rsidRPr="001F226D" w:rsidRDefault="00E360DF" w:rsidP="003C4668">
      <w:pPr>
        <w:pStyle w:val="ListParagraph"/>
        <w:numPr>
          <w:ilvl w:val="0"/>
          <w:numId w:val="1"/>
        </w:numPr>
        <w:contextualSpacing w:val="0"/>
        <w:jc w:val="both"/>
        <w:rPr>
          <w:b/>
          <w:color w:val="C00000"/>
          <w:sz w:val="24"/>
          <w:szCs w:val="24"/>
        </w:rPr>
      </w:pPr>
      <w:r w:rsidRPr="001F226D">
        <w:rPr>
          <w:b/>
          <w:color w:val="C00000"/>
          <w:sz w:val="24"/>
          <w:szCs w:val="24"/>
        </w:rPr>
        <w:t>PPAG Dash Board</w:t>
      </w:r>
    </w:p>
    <w:p w14:paraId="16ADC082" w14:textId="77777777" w:rsidR="003C6BC3" w:rsidRDefault="003C6BC3" w:rsidP="000811C0">
      <w:pPr>
        <w:pStyle w:val="ListParagraph"/>
        <w:numPr>
          <w:ilvl w:val="0"/>
          <w:numId w:val="5"/>
        </w:numPr>
        <w:spacing w:after="120"/>
        <w:ind w:left="357" w:hanging="357"/>
        <w:contextualSpacing w:val="0"/>
        <w:jc w:val="both"/>
        <w:rPr>
          <w:b/>
        </w:rPr>
      </w:pPr>
      <w:r>
        <w:rPr>
          <w:b/>
        </w:rPr>
        <w:t>Follow up:</w:t>
      </w:r>
    </w:p>
    <w:p w14:paraId="22BEFE24" w14:textId="19447F74" w:rsidR="007B6193" w:rsidRDefault="00701F8B" w:rsidP="000811C0">
      <w:pPr>
        <w:pStyle w:val="ListParagraph"/>
        <w:numPr>
          <w:ilvl w:val="0"/>
          <w:numId w:val="10"/>
        </w:numPr>
        <w:spacing w:after="0" w:line="240" w:lineRule="auto"/>
        <w:contextualSpacing w:val="0"/>
        <w:rPr>
          <w:color w:val="000000" w:themeColor="text1"/>
        </w:rPr>
      </w:pPr>
      <w:r w:rsidRPr="00701F8B">
        <w:rPr>
          <w:b/>
        </w:rPr>
        <w:t xml:space="preserve">Activities </w:t>
      </w:r>
      <w:r w:rsidR="00D6219A">
        <w:rPr>
          <w:b/>
        </w:rPr>
        <w:t>from reprogramming request – way forward</w:t>
      </w:r>
      <w:r w:rsidR="00FC4D31" w:rsidRPr="00701F8B">
        <w:rPr>
          <w:b/>
        </w:rPr>
        <w:t>:</w:t>
      </w:r>
      <w:r w:rsidR="00FC4D31" w:rsidRPr="006E4CE4">
        <w:rPr>
          <w:color w:val="000000" w:themeColor="text1"/>
        </w:rPr>
        <w:t xml:space="preserve"> </w:t>
      </w:r>
      <w:r w:rsidR="002201E6">
        <w:rPr>
          <w:color w:val="000000" w:themeColor="text1"/>
        </w:rPr>
        <w:t>almost everything implemented except MoH, sanitary pads procurement/distribution</w:t>
      </w:r>
      <w:r w:rsidR="00BA4993">
        <w:rPr>
          <w:color w:val="000000" w:themeColor="text1"/>
        </w:rPr>
        <w:t xml:space="preserve"> </w:t>
      </w:r>
      <w:r w:rsidR="002201E6">
        <w:rPr>
          <w:color w:val="000000" w:themeColor="text1"/>
        </w:rPr>
        <w:t xml:space="preserve">and finance training. Out of </w:t>
      </w:r>
      <w:r w:rsidR="00C46B7B">
        <w:rPr>
          <w:color w:val="000000" w:themeColor="text1"/>
        </w:rPr>
        <w:t>US$</w:t>
      </w:r>
      <w:r w:rsidR="002201E6">
        <w:rPr>
          <w:color w:val="000000" w:themeColor="text1"/>
        </w:rPr>
        <w:t>73</w:t>
      </w:r>
      <w:r w:rsidR="00C46B7B">
        <w:rPr>
          <w:color w:val="000000" w:themeColor="text1"/>
        </w:rPr>
        <w:t>,</w:t>
      </w:r>
      <w:r w:rsidR="002201E6">
        <w:rPr>
          <w:color w:val="000000" w:themeColor="text1"/>
        </w:rPr>
        <w:t xml:space="preserve">000 reprogrammed, about 57% </w:t>
      </w:r>
      <w:r w:rsidR="00C46B7B">
        <w:rPr>
          <w:color w:val="000000" w:themeColor="text1"/>
        </w:rPr>
        <w:t xml:space="preserve">are already </w:t>
      </w:r>
      <w:r w:rsidR="002201E6">
        <w:rPr>
          <w:color w:val="000000" w:themeColor="text1"/>
        </w:rPr>
        <w:t>spent</w:t>
      </w:r>
      <w:r w:rsidR="00C46B7B">
        <w:rPr>
          <w:color w:val="000000" w:themeColor="text1"/>
        </w:rPr>
        <w:t>.</w:t>
      </w:r>
    </w:p>
    <w:p w14:paraId="1428666D" w14:textId="284058F8" w:rsidR="00AA20C7" w:rsidRPr="00BA4993" w:rsidRDefault="00AA20C7" w:rsidP="000811C0">
      <w:pPr>
        <w:pStyle w:val="ListParagraph"/>
        <w:numPr>
          <w:ilvl w:val="0"/>
          <w:numId w:val="10"/>
        </w:numPr>
        <w:spacing w:after="0" w:line="240" w:lineRule="auto"/>
        <w:contextualSpacing w:val="0"/>
        <w:rPr>
          <w:b/>
          <w:color w:val="000000" w:themeColor="text1"/>
        </w:rPr>
      </w:pPr>
      <w:r w:rsidRPr="00145CB5">
        <w:rPr>
          <w:b/>
          <w:color w:val="000000" w:themeColor="text1"/>
        </w:rPr>
        <w:t xml:space="preserve">TB screening </w:t>
      </w:r>
      <w:r w:rsidR="00C46B7B">
        <w:rPr>
          <w:b/>
          <w:color w:val="000000" w:themeColor="text1"/>
        </w:rPr>
        <w:t>way forward</w:t>
      </w:r>
      <w:r w:rsidRPr="00145CB5">
        <w:rPr>
          <w:b/>
          <w:color w:val="000000" w:themeColor="text1"/>
        </w:rPr>
        <w:t>:</w:t>
      </w:r>
      <w:r w:rsidR="00145CB5">
        <w:rPr>
          <w:b/>
          <w:color w:val="000000" w:themeColor="text1"/>
        </w:rPr>
        <w:t xml:space="preserve"> </w:t>
      </w:r>
      <w:r w:rsidR="002D74BE" w:rsidRPr="002D74BE">
        <w:rPr>
          <w:color w:val="000000" w:themeColor="text1"/>
        </w:rPr>
        <w:t>In the future</w:t>
      </w:r>
      <w:r w:rsidR="002D74BE">
        <w:rPr>
          <w:b/>
          <w:color w:val="000000" w:themeColor="text1"/>
        </w:rPr>
        <w:t xml:space="preserve"> </w:t>
      </w:r>
      <w:r w:rsidR="002201E6">
        <w:rPr>
          <w:color w:val="000000" w:themeColor="text1"/>
        </w:rPr>
        <w:t xml:space="preserve">NTP will </w:t>
      </w:r>
      <w:r w:rsidR="002D74BE">
        <w:rPr>
          <w:color w:val="000000" w:themeColor="text1"/>
        </w:rPr>
        <w:t>undertake</w:t>
      </w:r>
      <w:r w:rsidR="002201E6">
        <w:rPr>
          <w:color w:val="000000" w:themeColor="text1"/>
        </w:rPr>
        <w:t xml:space="preserve"> TB </w:t>
      </w:r>
      <w:r w:rsidR="00FB5089">
        <w:rPr>
          <w:color w:val="000000" w:themeColor="text1"/>
        </w:rPr>
        <w:t xml:space="preserve">mass </w:t>
      </w:r>
      <w:r w:rsidR="002201E6">
        <w:rPr>
          <w:color w:val="000000" w:themeColor="text1"/>
        </w:rPr>
        <w:t xml:space="preserve">screening </w:t>
      </w:r>
      <w:r w:rsidR="002D74BE">
        <w:rPr>
          <w:color w:val="000000" w:themeColor="text1"/>
        </w:rPr>
        <w:t xml:space="preserve">in prisons </w:t>
      </w:r>
      <w:r w:rsidR="002201E6">
        <w:rPr>
          <w:color w:val="000000" w:themeColor="text1"/>
        </w:rPr>
        <w:t xml:space="preserve">and enable infirmary nurses to do </w:t>
      </w:r>
      <w:r w:rsidR="00FB5089">
        <w:rPr>
          <w:color w:val="000000" w:themeColor="text1"/>
        </w:rPr>
        <w:t>it themselves eventually</w:t>
      </w:r>
      <w:r w:rsidR="002201E6">
        <w:rPr>
          <w:color w:val="000000" w:themeColor="text1"/>
        </w:rPr>
        <w:t xml:space="preserve">. PPAG will facilitate TB screening.  </w:t>
      </w:r>
    </w:p>
    <w:p w14:paraId="6CEE11AD" w14:textId="77777777" w:rsidR="003C6BC3" w:rsidRPr="003C6BC3" w:rsidRDefault="003C6BC3" w:rsidP="003C6BC3">
      <w:pPr>
        <w:pStyle w:val="ListParagraph"/>
        <w:spacing w:after="120"/>
        <w:ind w:left="717"/>
        <w:contextualSpacing w:val="0"/>
        <w:jc w:val="both"/>
      </w:pPr>
    </w:p>
    <w:p w14:paraId="04290EE4" w14:textId="77777777" w:rsidR="00E360DF" w:rsidRPr="00962157" w:rsidRDefault="00E360DF" w:rsidP="000811C0">
      <w:pPr>
        <w:pStyle w:val="ListParagraph"/>
        <w:numPr>
          <w:ilvl w:val="0"/>
          <w:numId w:val="5"/>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866"/>
        <w:gridCol w:w="2880"/>
        <w:gridCol w:w="4514"/>
      </w:tblGrid>
      <w:tr w:rsidR="00E360DF" w14:paraId="3A7914D0" w14:textId="77777777" w:rsidTr="00F1000E">
        <w:tc>
          <w:tcPr>
            <w:tcW w:w="1906" w:type="dxa"/>
          </w:tcPr>
          <w:p w14:paraId="362CE9D1" w14:textId="77777777" w:rsidR="00E360DF" w:rsidRDefault="00E360DF" w:rsidP="00403A95">
            <w:pPr>
              <w:pStyle w:val="ListParagraph"/>
              <w:spacing w:before="120"/>
              <w:ind w:left="0"/>
              <w:contextualSpacing w:val="0"/>
              <w:jc w:val="both"/>
              <w:rPr>
                <w:b/>
              </w:rPr>
            </w:pPr>
            <w:r>
              <w:rPr>
                <w:b/>
              </w:rPr>
              <w:t>Indicator</w:t>
            </w:r>
          </w:p>
        </w:tc>
        <w:tc>
          <w:tcPr>
            <w:tcW w:w="2977" w:type="dxa"/>
          </w:tcPr>
          <w:p w14:paraId="7412B81C" w14:textId="77777777" w:rsidR="00E360DF" w:rsidRDefault="00E360DF" w:rsidP="00403A95">
            <w:pPr>
              <w:pStyle w:val="ListParagraph"/>
              <w:spacing w:before="120"/>
              <w:ind w:left="0"/>
              <w:contextualSpacing w:val="0"/>
              <w:jc w:val="both"/>
              <w:rPr>
                <w:b/>
              </w:rPr>
            </w:pPr>
            <w:r>
              <w:rPr>
                <w:b/>
              </w:rPr>
              <w:t xml:space="preserve">Observation </w:t>
            </w:r>
          </w:p>
        </w:tc>
        <w:tc>
          <w:tcPr>
            <w:tcW w:w="4710" w:type="dxa"/>
          </w:tcPr>
          <w:p w14:paraId="0D2E0B6D" w14:textId="77777777" w:rsidR="00E360DF" w:rsidRDefault="00E360DF" w:rsidP="00403A95">
            <w:pPr>
              <w:pStyle w:val="ListParagraph"/>
              <w:spacing w:before="120"/>
              <w:ind w:left="0"/>
              <w:contextualSpacing w:val="0"/>
              <w:jc w:val="both"/>
              <w:rPr>
                <w:b/>
              </w:rPr>
            </w:pPr>
            <w:r>
              <w:rPr>
                <w:b/>
              </w:rPr>
              <w:t xml:space="preserve">Answer / Decision </w:t>
            </w:r>
          </w:p>
        </w:tc>
      </w:tr>
      <w:tr w:rsidR="00E360DF" w14:paraId="4A128FF0" w14:textId="77777777" w:rsidTr="00F1000E">
        <w:tc>
          <w:tcPr>
            <w:tcW w:w="1906" w:type="dxa"/>
          </w:tcPr>
          <w:p w14:paraId="52203C97" w14:textId="77777777" w:rsidR="00E360DF" w:rsidRDefault="0015382A" w:rsidP="00403A95">
            <w:pPr>
              <w:pStyle w:val="ListParagraph"/>
              <w:spacing w:before="120"/>
              <w:ind w:left="0"/>
              <w:contextualSpacing w:val="0"/>
              <w:jc w:val="both"/>
              <w:rPr>
                <w:b/>
              </w:rPr>
            </w:pPr>
            <w:r>
              <w:rPr>
                <w:b/>
              </w:rPr>
              <w:t>Absorption rate</w:t>
            </w:r>
          </w:p>
        </w:tc>
        <w:tc>
          <w:tcPr>
            <w:tcW w:w="2977" w:type="dxa"/>
          </w:tcPr>
          <w:p w14:paraId="39C13C35" w14:textId="598A9AC8" w:rsidR="00E360DF" w:rsidRPr="001571F6" w:rsidRDefault="00581FDE" w:rsidP="00FB5089">
            <w:pPr>
              <w:ind w:left="34"/>
            </w:pPr>
            <w:r>
              <w:t xml:space="preserve">Quarterly </w:t>
            </w:r>
            <w:r w:rsidR="002201E6">
              <w:t>4</w:t>
            </w:r>
            <w:r w:rsidR="00D0094C">
              <w:t>6</w:t>
            </w:r>
            <w:r>
              <w:t xml:space="preserve">%, </w:t>
            </w:r>
            <w:r w:rsidR="00D0094C">
              <w:t>cum.</w:t>
            </w:r>
            <w:r>
              <w:t xml:space="preserve"> </w:t>
            </w:r>
            <w:r w:rsidR="00D0094C">
              <w:t>7</w:t>
            </w:r>
            <w:r w:rsidR="002201E6">
              <w:t>5</w:t>
            </w:r>
            <w:r w:rsidR="00E01D0B">
              <w:t>%</w:t>
            </w:r>
            <w:r>
              <w:t xml:space="preserve">. </w:t>
            </w:r>
          </w:p>
        </w:tc>
        <w:tc>
          <w:tcPr>
            <w:tcW w:w="4710" w:type="dxa"/>
          </w:tcPr>
          <w:p w14:paraId="0B1237EE" w14:textId="7C742AE7" w:rsidR="00E360DF" w:rsidRDefault="002201E6" w:rsidP="002201E6">
            <w:pPr>
              <w:pStyle w:val="ListParagraph"/>
              <w:spacing w:before="120"/>
              <w:ind w:left="0"/>
              <w:contextualSpacing w:val="0"/>
              <w:jc w:val="both"/>
            </w:pPr>
            <w:r>
              <w:t xml:space="preserve">Hygiene kits distribution postponed to Q2. </w:t>
            </w:r>
            <w:r w:rsidR="00543BCB">
              <w:t xml:space="preserve">Had hygiene kits still in stock to distribute. </w:t>
            </w:r>
            <w:r>
              <w:t xml:space="preserve">BCC material production postponed to Q2. </w:t>
            </w:r>
          </w:p>
          <w:p w14:paraId="452F7E71" w14:textId="5D5EE24C" w:rsidR="002201E6" w:rsidRPr="001571F6" w:rsidRDefault="002201E6" w:rsidP="002201E6">
            <w:pPr>
              <w:pStyle w:val="ListParagraph"/>
              <w:spacing w:before="120"/>
              <w:ind w:left="0"/>
              <w:contextualSpacing w:val="0"/>
              <w:jc w:val="both"/>
            </w:pPr>
            <w:r>
              <w:t>Salary scheme is implemented</w:t>
            </w:r>
            <w:r w:rsidR="00FB5089">
              <w:t xml:space="preserve"> (see minutes Q4).</w:t>
            </w:r>
          </w:p>
        </w:tc>
      </w:tr>
    </w:tbl>
    <w:p w14:paraId="4528D0B0" w14:textId="77777777" w:rsidR="0015382A" w:rsidRPr="0015382A" w:rsidRDefault="0015382A" w:rsidP="000811C0">
      <w:pPr>
        <w:pStyle w:val="ListParagraph"/>
        <w:numPr>
          <w:ilvl w:val="0"/>
          <w:numId w:val="5"/>
        </w:numPr>
        <w:spacing w:before="360" w:after="120"/>
        <w:ind w:left="357" w:hanging="357"/>
        <w:contextualSpacing w:val="0"/>
        <w:jc w:val="both"/>
        <w:rPr>
          <w:b/>
        </w:rPr>
      </w:pPr>
      <w:r w:rsidRPr="0015382A">
        <w:rPr>
          <w:b/>
        </w:rPr>
        <w:lastRenderedPageBreak/>
        <w:t xml:space="preserve">Management Indicators: </w:t>
      </w:r>
      <w:r w:rsidR="00A02D02" w:rsidRPr="00A02D02">
        <w:t>no comments</w:t>
      </w:r>
    </w:p>
    <w:p w14:paraId="49DADC5C" w14:textId="77777777" w:rsidR="0015382A" w:rsidRPr="0015382A" w:rsidRDefault="00E360DF" w:rsidP="003C4668">
      <w:pPr>
        <w:pStyle w:val="ListParagraph"/>
        <w:numPr>
          <w:ilvl w:val="0"/>
          <w:numId w:val="5"/>
        </w:numPr>
        <w:spacing w:after="120"/>
        <w:ind w:left="357" w:hanging="357"/>
        <w:contextualSpacing w:val="0"/>
        <w:jc w:val="both"/>
        <w:rPr>
          <w:b/>
        </w:rPr>
      </w:pPr>
      <w:r w:rsidRPr="007D6E1C">
        <w:rPr>
          <w:b/>
        </w:rPr>
        <w:t>Programmatic Indicators:</w:t>
      </w:r>
      <w:r w:rsidR="009123C6">
        <w:rPr>
          <w:b/>
        </w:rPr>
        <w:t xml:space="preserve"> </w:t>
      </w:r>
    </w:p>
    <w:tbl>
      <w:tblPr>
        <w:tblStyle w:val="TableGrid"/>
        <w:tblW w:w="0" w:type="auto"/>
        <w:tblInd w:w="357" w:type="dxa"/>
        <w:tblLook w:val="04A0" w:firstRow="1" w:lastRow="0" w:firstColumn="1" w:lastColumn="0" w:noHBand="0" w:noVBand="1"/>
      </w:tblPr>
      <w:tblGrid>
        <w:gridCol w:w="1735"/>
        <w:gridCol w:w="3020"/>
        <w:gridCol w:w="4505"/>
      </w:tblGrid>
      <w:tr w:rsidR="00E360DF" w14:paraId="23559E8C" w14:textId="77777777" w:rsidTr="00C77146">
        <w:tc>
          <w:tcPr>
            <w:tcW w:w="1735" w:type="dxa"/>
          </w:tcPr>
          <w:p w14:paraId="6C4488E4" w14:textId="77777777" w:rsidR="00E360DF" w:rsidRDefault="00E360DF" w:rsidP="00403A95">
            <w:pPr>
              <w:pStyle w:val="ListParagraph"/>
              <w:spacing w:before="120"/>
              <w:ind w:left="0"/>
              <w:contextualSpacing w:val="0"/>
              <w:jc w:val="both"/>
              <w:rPr>
                <w:b/>
              </w:rPr>
            </w:pPr>
            <w:r>
              <w:rPr>
                <w:b/>
              </w:rPr>
              <w:t>Indicator</w:t>
            </w:r>
          </w:p>
        </w:tc>
        <w:tc>
          <w:tcPr>
            <w:tcW w:w="3020" w:type="dxa"/>
          </w:tcPr>
          <w:p w14:paraId="1C447A02" w14:textId="77777777" w:rsidR="00E360DF" w:rsidRDefault="00E360DF" w:rsidP="00403A95">
            <w:pPr>
              <w:pStyle w:val="ListParagraph"/>
              <w:spacing w:before="120"/>
              <w:ind w:left="0"/>
              <w:contextualSpacing w:val="0"/>
              <w:jc w:val="both"/>
              <w:rPr>
                <w:b/>
              </w:rPr>
            </w:pPr>
            <w:r>
              <w:rPr>
                <w:b/>
              </w:rPr>
              <w:t xml:space="preserve">Observation  </w:t>
            </w:r>
          </w:p>
        </w:tc>
        <w:tc>
          <w:tcPr>
            <w:tcW w:w="4505" w:type="dxa"/>
          </w:tcPr>
          <w:p w14:paraId="0A0956DA" w14:textId="77777777" w:rsidR="00E360DF" w:rsidRDefault="00E360DF" w:rsidP="00403A95">
            <w:pPr>
              <w:pStyle w:val="ListParagraph"/>
              <w:spacing w:before="120"/>
              <w:ind w:left="0"/>
              <w:contextualSpacing w:val="0"/>
              <w:jc w:val="both"/>
              <w:rPr>
                <w:b/>
              </w:rPr>
            </w:pPr>
            <w:r>
              <w:rPr>
                <w:b/>
              </w:rPr>
              <w:t xml:space="preserve">Answer / Decision </w:t>
            </w:r>
          </w:p>
        </w:tc>
      </w:tr>
      <w:tr w:rsidR="00E360DF" w14:paraId="1C777359" w14:textId="77777777" w:rsidTr="00C77146">
        <w:trPr>
          <w:trHeight w:val="558"/>
        </w:trPr>
        <w:tc>
          <w:tcPr>
            <w:tcW w:w="1735" w:type="dxa"/>
          </w:tcPr>
          <w:p w14:paraId="26B020ED" w14:textId="77777777" w:rsidR="00E360DF" w:rsidRDefault="007D3D8F" w:rsidP="007D3D8F">
            <w:pPr>
              <w:pStyle w:val="ListParagraph"/>
              <w:spacing w:before="120"/>
              <w:ind w:left="0"/>
              <w:contextualSpacing w:val="0"/>
              <w:rPr>
                <w:b/>
              </w:rPr>
            </w:pPr>
            <w:r>
              <w:rPr>
                <w:b/>
              </w:rPr>
              <w:t xml:space="preserve">% HIV prevention </w:t>
            </w:r>
          </w:p>
        </w:tc>
        <w:tc>
          <w:tcPr>
            <w:tcW w:w="3020" w:type="dxa"/>
          </w:tcPr>
          <w:p w14:paraId="4DEBE330" w14:textId="1F67A9FE" w:rsidR="00E360DF" w:rsidRPr="001571F6" w:rsidRDefault="00C77146" w:rsidP="00C77146">
            <w:pPr>
              <w:pStyle w:val="ListParagraph"/>
              <w:spacing w:before="120"/>
              <w:ind w:left="34"/>
            </w:pPr>
            <w:r>
              <w:t>How is possible to reach 108% with 3% of the budget?</w:t>
            </w:r>
          </w:p>
        </w:tc>
        <w:tc>
          <w:tcPr>
            <w:tcW w:w="4505" w:type="dxa"/>
          </w:tcPr>
          <w:p w14:paraId="6D778007" w14:textId="42377C26" w:rsidR="00E360DF" w:rsidRPr="001571F6" w:rsidRDefault="00FB5089" w:rsidP="003C4668">
            <w:pPr>
              <w:pStyle w:val="ListParagraph"/>
              <w:spacing w:before="120"/>
              <w:ind w:left="0"/>
              <w:contextualSpacing w:val="0"/>
            </w:pPr>
            <w:r>
              <w:t xml:space="preserve">Hygiene kits will be distributed </w:t>
            </w:r>
            <w:r w:rsidR="003C4668">
              <w:t>in</w:t>
            </w:r>
            <w:r>
              <w:t xml:space="preserve"> Q</w:t>
            </w:r>
            <w:r w:rsidR="003C4668">
              <w:t>2</w:t>
            </w:r>
            <w:r>
              <w:t xml:space="preserve">. HIV prevention activities themselves are low cost. </w:t>
            </w:r>
          </w:p>
        </w:tc>
      </w:tr>
      <w:tr w:rsidR="00E360DF" w14:paraId="0FF1DD8C" w14:textId="77777777" w:rsidTr="00C77146">
        <w:tc>
          <w:tcPr>
            <w:tcW w:w="1735" w:type="dxa"/>
          </w:tcPr>
          <w:p w14:paraId="2D90D8E7" w14:textId="77777777" w:rsidR="00E360DF" w:rsidRDefault="007D3D8F" w:rsidP="00521189">
            <w:pPr>
              <w:pStyle w:val="ListParagraph"/>
              <w:spacing w:before="120"/>
              <w:ind w:left="0"/>
              <w:contextualSpacing w:val="0"/>
              <w:rPr>
                <w:b/>
              </w:rPr>
            </w:pPr>
            <w:r>
              <w:rPr>
                <w:b/>
              </w:rPr>
              <w:t>% HT</w:t>
            </w:r>
            <w:r w:rsidR="00521189">
              <w:rPr>
                <w:b/>
              </w:rPr>
              <w:t>S</w:t>
            </w:r>
          </w:p>
        </w:tc>
        <w:tc>
          <w:tcPr>
            <w:tcW w:w="3020" w:type="dxa"/>
          </w:tcPr>
          <w:p w14:paraId="28DDD8E8" w14:textId="66F130FD" w:rsidR="00E360DF" w:rsidRPr="001571F6" w:rsidRDefault="00C77146" w:rsidP="000C0A3F">
            <w:pPr>
              <w:pStyle w:val="ListParagraph"/>
              <w:spacing w:before="120"/>
              <w:ind w:left="0"/>
              <w:contextualSpacing w:val="0"/>
            </w:pPr>
            <w:r>
              <w:t xml:space="preserve">How is it possible to reach 93% with 46% of the budget? </w:t>
            </w:r>
          </w:p>
        </w:tc>
        <w:tc>
          <w:tcPr>
            <w:tcW w:w="4505" w:type="dxa"/>
          </w:tcPr>
          <w:p w14:paraId="61D6FE97" w14:textId="4228C500" w:rsidR="00E360DF" w:rsidRPr="001571F6" w:rsidRDefault="00543BCB" w:rsidP="00543BCB">
            <w:pPr>
              <w:pStyle w:val="ListParagraph"/>
              <w:spacing w:before="120"/>
              <w:ind w:left="0"/>
              <w:contextualSpacing w:val="0"/>
            </w:pPr>
            <w:r>
              <w:t xml:space="preserve">All cost except hygiene kits / drama </w:t>
            </w:r>
            <w:r w:rsidR="00FB5089">
              <w:t>performance on this budget line, not just budget lines directly related to HTS.</w:t>
            </w:r>
            <w:r>
              <w:t xml:space="preserve">  </w:t>
            </w:r>
          </w:p>
        </w:tc>
      </w:tr>
      <w:tr w:rsidR="00C77146" w14:paraId="0C32DF0D" w14:textId="77777777" w:rsidTr="00C77146">
        <w:tc>
          <w:tcPr>
            <w:tcW w:w="1735" w:type="dxa"/>
          </w:tcPr>
          <w:p w14:paraId="01B32557" w14:textId="16A39DD0" w:rsidR="00C77146" w:rsidRDefault="00C77146" w:rsidP="00C77146">
            <w:pPr>
              <w:pStyle w:val="ListParagraph"/>
              <w:spacing w:before="120"/>
              <w:ind w:left="0"/>
              <w:contextualSpacing w:val="0"/>
              <w:rPr>
                <w:b/>
              </w:rPr>
            </w:pPr>
            <w:r>
              <w:rPr>
                <w:b/>
              </w:rPr>
              <w:t># referrals TB</w:t>
            </w:r>
          </w:p>
        </w:tc>
        <w:tc>
          <w:tcPr>
            <w:tcW w:w="3020" w:type="dxa"/>
          </w:tcPr>
          <w:p w14:paraId="50AC2098" w14:textId="13AB7448" w:rsidR="00C77146" w:rsidRPr="001571F6" w:rsidRDefault="00C77146" w:rsidP="003C4668">
            <w:pPr>
              <w:ind w:left="33"/>
            </w:pPr>
            <w:r>
              <w:t xml:space="preserve">Middle zone 89%, TfSC 11%. No TB screening with Northern and Southern zone  </w:t>
            </w:r>
          </w:p>
        </w:tc>
        <w:tc>
          <w:tcPr>
            <w:tcW w:w="4505" w:type="dxa"/>
          </w:tcPr>
          <w:p w14:paraId="766B4494" w14:textId="47A1F57D" w:rsidR="00C77146" w:rsidRPr="001571F6" w:rsidRDefault="00C41A04" w:rsidP="002D74BE">
            <w:pPr>
              <w:pStyle w:val="ListParagraph"/>
              <w:spacing w:before="120"/>
              <w:ind w:left="0"/>
              <w:contextualSpacing w:val="0"/>
            </w:pPr>
            <w:r>
              <w:t>Since TB screening will be carried out by NTP / infirmaries, this indicator will become irrelevant for PPAG</w:t>
            </w:r>
          </w:p>
        </w:tc>
      </w:tr>
    </w:tbl>
    <w:p w14:paraId="47BC201D" w14:textId="579D9B63" w:rsidR="007C3609" w:rsidRPr="007C3609" w:rsidRDefault="007C3609" w:rsidP="000811C0">
      <w:pPr>
        <w:pStyle w:val="ListParagraph"/>
        <w:numPr>
          <w:ilvl w:val="0"/>
          <w:numId w:val="5"/>
        </w:numPr>
        <w:spacing w:before="360" w:after="120"/>
        <w:ind w:left="357" w:hanging="357"/>
        <w:contextualSpacing w:val="0"/>
        <w:jc w:val="both"/>
        <w:rPr>
          <w:b/>
        </w:rPr>
      </w:pPr>
      <w:r w:rsidRPr="007C3609">
        <w:rPr>
          <w:b/>
        </w:rPr>
        <w:t xml:space="preserve">Challenges expected during the next six months: </w:t>
      </w:r>
      <w:r w:rsidR="003C2126">
        <w:t>N</w:t>
      </w:r>
      <w:r w:rsidR="00543BCB" w:rsidRPr="00543BCB">
        <w:t xml:space="preserve">one </w:t>
      </w:r>
    </w:p>
    <w:p w14:paraId="5B7D4C89" w14:textId="70B56520" w:rsidR="003D62BE" w:rsidRPr="000C52DD" w:rsidRDefault="00E360DF" w:rsidP="003C4668">
      <w:pPr>
        <w:pStyle w:val="ListParagraph"/>
        <w:numPr>
          <w:ilvl w:val="0"/>
          <w:numId w:val="5"/>
        </w:numPr>
        <w:spacing w:after="120"/>
        <w:ind w:left="357" w:hanging="357"/>
        <w:contextualSpacing w:val="0"/>
        <w:jc w:val="both"/>
      </w:pPr>
      <w:r>
        <w:rPr>
          <w:b/>
        </w:rPr>
        <w:t>Recommendations:</w:t>
      </w:r>
      <w:r w:rsidR="0045012F">
        <w:rPr>
          <w:b/>
        </w:rPr>
        <w:t xml:space="preserve"> </w:t>
      </w:r>
      <w:r w:rsidR="000C52DD" w:rsidRPr="000C52DD">
        <w:t>N</w:t>
      </w:r>
      <w:r w:rsidR="003C2126">
        <w:t>one</w:t>
      </w:r>
    </w:p>
    <w:p w14:paraId="56FC3734" w14:textId="77777777" w:rsidR="00AA2690" w:rsidRPr="001B26C1" w:rsidRDefault="00AA2690" w:rsidP="00755CA6">
      <w:pPr>
        <w:pStyle w:val="ListParagraph"/>
        <w:ind w:left="717"/>
        <w:contextualSpacing w:val="0"/>
        <w:jc w:val="both"/>
      </w:pPr>
    </w:p>
    <w:p w14:paraId="24DEB709" w14:textId="77777777" w:rsidR="00043AFF" w:rsidRPr="001F226D" w:rsidRDefault="00E360DF" w:rsidP="000811C0">
      <w:pPr>
        <w:pStyle w:val="ListParagraph"/>
        <w:numPr>
          <w:ilvl w:val="0"/>
          <w:numId w:val="1"/>
        </w:numPr>
        <w:ind w:left="357" w:hanging="357"/>
        <w:contextualSpacing w:val="0"/>
        <w:jc w:val="both"/>
        <w:rPr>
          <w:b/>
          <w:color w:val="C00000"/>
          <w:sz w:val="24"/>
          <w:szCs w:val="24"/>
        </w:rPr>
      </w:pPr>
      <w:r w:rsidRPr="001F226D">
        <w:rPr>
          <w:b/>
          <w:color w:val="C00000"/>
          <w:sz w:val="24"/>
          <w:szCs w:val="24"/>
        </w:rPr>
        <w:t>ADRA Dash Board</w:t>
      </w:r>
    </w:p>
    <w:p w14:paraId="0F209263" w14:textId="77777777" w:rsidR="0004237F" w:rsidRDefault="0004237F" w:rsidP="000811C0">
      <w:pPr>
        <w:pStyle w:val="ListParagraph"/>
        <w:numPr>
          <w:ilvl w:val="0"/>
          <w:numId w:val="9"/>
        </w:numPr>
        <w:spacing w:after="0"/>
        <w:contextualSpacing w:val="0"/>
        <w:jc w:val="both"/>
        <w:rPr>
          <w:b/>
        </w:rPr>
      </w:pPr>
      <w:r>
        <w:rPr>
          <w:b/>
        </w:rPr>
        <w:t>Follow up</w:t>
      </w:r>
      <w:r w:rsidR="00012CAF">
        <w:rPr>
          <w:b/>
        </w:rPr>
        <w:t xml:space="preserve"> / feedback from the field</w:t>
      </w:r>
      <w:r>
        <w:rPr>
          <w:b/>
        </w:rPr>
        <w:t>:</w:t>
      </w:r>
    </w:p>
    <w:p w14:paraId="6F9CA9B1" w14:textId="4589454D" w:rsidR="00412F3B" w:rsidRDefault="00AA20C7" w:rsidP="000811C0">
      <w:pPr>
        <w:pStyle w:val="ListParagraph"/>
        <w:numPr>
          <w:ilvl w:val="0"/>
          <w:numId w:val="10"/>
        </w:numPr>
        <w:spacing w:after="0" w:line="240" w:lineRule="auto"/>
        <w:contextualSpacing w:val="0"/>
        <w:rPr>
          <w:color w:val="000000" w:themeColor="text1"/>
        </w:rPr>
      </w:pPr>
      <w:r>
        <w:rPr>
          <w:b/>
        </w:rPr>
        <w:t>Status quo l</w:t>
      </w:r>
      <w:r w:rsidR="006F2649" w:rsidRPr="00701F8B">
        <w:rPr>
          <w:b/>
        </w:rPr>
        <w:t xml:space="preserve">ubricant request: </w:t>
      </w:r>
      <w:r w:rsidR="0024330A">
        <w:rPr>
          <w:color w:val="000000" w:themeColor="text1"/>
        </w:rPr>
        <w:t>discussions with GAC and NACP, provided lubricant need</w:t>
      </w:r>
      <w:r w:rsidR="002D74BE">
        <w:rPr>
          <w:color w:val="000000" w:themeColor="text1"/>
        </w:rPr>
        <w:t xml:space="preserve"> to them</w:t>
      </w:r>
    </w:p>
    <w:p w14:paraId="6826E150" w14:textId="0BA8F62C" w:rsidR="00CA7ACD" w:rsidRPr="002631E0" w:rsidRDefault="004678F0" w:rsidP="000811C0">
      <w:pPr>
        <w:pStyle w:val="ListParagraph"/>
        <w:numPr>
          <w:ilvl w:val="0"/>
          <w:numId w:val="10"/>
        </w:numPr>
        <w:spacing w:after="0" w:line="240" w:lineRule="auto"/>
        <w:contextualSpacing w:val="0"/>
        <w:rPr>
          <w:color w:val="000000" w:themeColor="text1"/>
        </w:rPr>
      </w:pPr>
      <w:r>
        <w:rPr>
          <w:b/>
        </w:rPr>
        <w:t>Female condom model</w:t>
      </w:r>
      <w:r w:rsidR="00CA7ACD">
        <w:rPr>
          <w:b/>
        </w:rPr>
        <w:t>:</w:t>
      </w:r>
      <w:r w:rsidR="004E44D8">
        <w:t xml:space="preserve"> </w:t>
      </w:r>
      <w:r w:rsidR="0024330A">
        <w:t>Found a supplier through PPAG</w:t>
      </w:r>
      <w:r w:rsidR="004E44D8">
        <w:t xml:space="preserve"> </w:t>
      </w:r>
    </w:p>
    <w:p w14:paraId="36A30FA6" w14:textId="7EE808C5" w:rsidR="00C50248" w:rsidRPr="00C50248" w:rsidRDefault="00C50248" w:rsidP="000811C0">
      <w:pPr>
        <w:pStyle w:val="ListParagraph"/>
        <w:numPr>
          <w:ilvl w:val="0"/>
          <w:numId w:val="10"/>
        </w:numPr>
        <w:spacing w:after="0" w:line="240" w:lineRule="auto"/>
        <w:contextualSpacing w:val="0"/>
        <w:rPr>
          <w:b/>
          <w:color w:val="000000" w:themeColor="text1"/>
        </w:rPr>
      </w:pPr>
      <w:r w:rsidRPr="00C50248">
        <w:rPr>
          <w:b/>
        </w:rPr>
        <w:t>Continuation in ADRA implementation areas in 2018 and beyond</w:t>
      </w:r>
      <w:r>
        <w:rPr>
          <w:b/>
        </w:rPr>
        <w:t xml:space="preserve">: Which districts will be continued? </w:t>
      </w:r>
      <w:r w:rsidR="002203D8">
        <w:rPr>
          <w:b/>
        </w:rPr>
        <w:t xml:space="preserve">Sustainability of remaining districts? </w:t>
      </w:r>
      <w:r w:rsidR="0024330A" w:rsidRPr="0024330A">
        <w:t>In discussion with WAPCAS</w:t>
      </w:r>
      <w:r w:rsidR="0024330A">
        <w:t xml:space="preserve"> about continuation in selected districts. No solution yet for delisted districts</w:t>
      </w:r>
      <w:r w:rsidR="00C41A04">
        <w:t>.</w:t>
      </w:r>
    </w:p>
    <w:p w14:paraId="369E9733" w14:textId="77777777" w:rsidR="00AA20C7" w:rsidRDefault="00AA20C7" w:rsidP="00AA20C7">
      <w:pPr>
        <w:pStyle w:val="ListParagraph"/>
        <w:spacing w:after="0" w:line="240" w:lineRule="auto"/>
        <w:ind w:left="714"/>
        <w:contextualSpacing w:val="0"/>
        <w:rPr>
          <w:color w:val="000000" w:themeColor="text1"/>
        </w:rPr>
      </w:pPr>
    </w:p>
    <w:p w14:paraId="7D1B50E5" w14:textId="77777777" w:rsidR="00E360DF" w:rsidRPr="00962157" w:rsidRDefault="00E360DF" w:rsidP="000811C0">
      <w:pPr>
        <w:pStyle w:val="ListParagraph"/>
        <w:numPr>
          <w:ilvl w:val="0"/>
          <w:numId w:val="9"/>
        </w:numPr>
        <w:spacing w:after="120"/>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868"/>
        <w:gridCol w:w="2885"/>
        <w:gridCol w:w="4507"/>
      </w:tblGrid>
      <w:tr w:rsidR="00F1000E" w14:paraId="70A46FA2" w14:textId="77777777" w:rsidTr="00091D7D">
        <w:tc>
          <w:tcPr>
            <w:tcW w:w="1868" w:type="dxa"/>
          </w:tcPr>
          <w:p w14:paraId="1BFB6B70" w14:textId="77777777" w:rsidR="00F1000E" w:rsidRDefault="00F1000E" w:rsidP="007461FA">
            <w:pPr>
              <w:pStyle w:val="ListParagraph"/>
              <w:spacing w:before="120"/>
              <w:ind w:left="0"/>
              <w:contextualSpacing w:val="0"/>
              <w:jc w:val="both"/>
              <w:rPr>
                <w:b/>
              </w:rPr>
            </w:pPr>
            <w:r>
              <w:rPr>
                <w:b/>
              </w:rPr>
              <w:t>Indicator</w:t>
            </w:r>
          </w:p>
        </w:tc>
        <w:tc>
          <w:tcPr>
            <w:tcW w:w="2885" w:type="dxa"/>
          </w:tcPr>
          <w:p w14:paraId="1755601C" w14:textId="77777777" w:rsidR="00F1000E" w:rsidRDefault="00F1000E" w:rsidP="007461FA">
            <w:pPr>
              <w:pStyle w:val="ListParagraph"/>
              <w:spacing w:before="120"/>
              <w:ind w:left="0"/>
              <w:contextualSpacing w:val="0"/>
              <w:jc w:val="both"/>
              <w:rPr>
                <w:b/>
              </w:rPr>
            </w:pPr>
            <w:r>
              <w:rPr>
                <w:b/>
              </w:rPr>
              <w:t xml:space="preserve">Observation </w:t>
            </w:r>
          </w:p>
        </w:tc>
        <w:tc>
          <w:tcPr>
            <w:tcW w:w="4507" w:type="dxa"/>
          </w:tcPr>
          <w:p w14:paraId="4154E365" w14:textId="77777777" w:rsidR="00F1000E" w:rsidRDefault="00F1000E" w:rsidP="007461FA">
            <w:pPr>
              <w:pStyle w:val="ListParagraph"/>
              <w:spacing w:before="120"/>
              <w:ind w:left="0"/>
              <w:contextualSpacing w:val="0"/>
              <w:jc w:val="both"/>
              <w:rPr>
                <w:b/>
              </w:rPr>
            </w:pPr>
            <w:r>
              <w:rPr>
                <w:b/>
              </w:rPr>
              <w:t xml:space="preserve">Answer / Decision </w:t>
            </w:r>
          </w:p>
        </w:tc>
      </w:tr>
      <w:tr w:rsidR="00091D7D" w14:paraId="0C97326B" w14:textId="77777777" w:rsidTr="00091D7D">
        <w:tc>
          <w:tcPr>
            <w:tcW w:w="1868" w:type="dxa"/>
          </w:tcPr>
          <w:p w14:paraId="249D20D8" w14:textId="52412C0F" w:rsidR="00091D7D" w:rsidRDefault="00091D7D" w:rsidP="00091D7D">
            <w:pPr>
              <w:pStyle w:val="ListParagraph"/>
              <w:spacing w:before="120"/>
              <w:ind w:left="0"/>
              <w:contextualSpacing w:val="0"/>
              <w:jc w:val="both"/>
              <w:rPr>
                <w:b/>
              </w:rPr>
            </w:pPr>
            <w:r>
              <w:rPr>
                <w:b/>
              </w:rPr>
              <w:t>Absorption rate</w:t>
            </w:r>
          </w:p>
        </w:tc>
        <w:tc>
          <w:tcPr>
            <w:tcW w:w="2885" w:type="dxa"/>
          </w:tcPr>
          <w:p w14:paraId="3B01D696" w14:textId="3D7BC5D1" w:rsidR="00091D7D" w:rsidRPr="001571F6" w:rsidRDefault="00091D7D" w:rsidP="003C4668">
            <w:pPr>
              <w:pStyle w:val="ListParagraph"/>
              <w:spacing w:before="120"/>
              <w:ind w:left="0"/>
              <w:contextualSpacing w:val="0"/>
            </w:pPr>
            <w:r>
              <w:t xml:space="preserve">81% in Q1, 88% cum. </w:t>
            </w:r>
            <w:r w:rsidR="003C4668">
              <w:t>Liquidity situation?</w:t>
            </w:r>
          </w:p>
        </w:tc>
        <w:tc>
          <w:tcPr>
            <w:tcW w:w="4507" w:type="dxa"/>
          </w:tcPr>
          <w:p w14:paraId="50920358" w14:textId="7397389B" w:rsidR="00091D7D" w:rsidRPr="001571F6" w:rsidRDefault="00470EE9" w:rsidP="00C41A04">
            <w:pPr>
              <w:pStyle w:val="ListParagraph"/>
              <w:spacing w:before="120"/>
              <w:ind w:left="0"/>
              <w:contextualSpacing w:val="0"/>
              <w:jc w:val="both"/>
            </w:pPr>
            <w:r>
              <w:t xml:space="preserve">Q1: </w:t>
            </w:r>
            <w:r w:rsidR="009861E5">
              <w:t xml:space="preserve">no liquidity challenges. </w:t>
            </w:r>
            <w:r w:rsidR="00C41A04">
              <w:t xml:space="preserve">However, </w:t>
            </w:r>
            <w:r w:rsidR="009861E5">
              <w:t xml:space="preserve">April-June </w:t>
            </w:r>
            <w:r w:rsidR="00C41A04">
              <w:t>USD</w:t>
            </w:r>
            <w:r w:rsidR="002D74BE">
              <w:t xml:space="preserve"> 202,</w:t>
            </w:r>
            <w:r w:rsidR="009861E5">
              <w:t xml:space="preserve">000 needed but only 112,000 came. </w:t>
            </w:r>
            <w:r w:rsidR="002D74BE">
              <w:t>Activities have come to a stand-</w:t>
            </w:r>
            <w:r w:rsidR="009861E5">
              <w:t xml:space="preserve">still until disbursement came. Annual disbursement not received yet.   </w:t>
            </w:r>
          </w:p>
        </w:tc>
      </w:tr>
      <w:tr w:rsidR="00091D7D" w14:paraId="44CCA480" w14:textId="77777777" w:rsidTr="00091D7D">
        <w:tc>
          <w:tcPr>
            <w:tcW w:w="1868" w:type="dxa"/>
          </w:tcPr>
          <w:p w14:paraId="3E7FE278" w14:textId="77777777" w:rsidR="00091D7D" w:rsidRDefault="00091D7D" w:rsidP="00091D7D">
            <w:pPr>
              <w:pStyle w:val="ListParagraph"/>
              <w:spacing w:before="120"/>
              <w:ind w:left="0"/>
              <w:contextualSpacing w:val="0"/>
              <w:jc w:val="both"/>
              <w:rPr>
                <w:b/>
              </w:rPr>
            </w:pPr>
            <w:r>
              <w:rPr>
                <w:b/>
              </w:rPr>
              <w:t>Disaggregated absorption rate by grant objective</w:t>
            </w:r>
          </w:p>
        </w:tc>
        <w:tc>
          <w:tcPr>
            <w:tcW w:w="2885" w:type="dxa"/>
          </w:tcPr>
          <w:p w14:paraId="4B1FD92E" w14:textId="140BBA17" w:rsidR="00091D7D" w:rsidRPr="001571F6" w:rsidRDefault="00091D7D" w:rsidP="00091D7D">
            <w:pPr>
              <w:pStyle w:val="ListParagraph"/>
              <w:spacing w:before="120"/>
              <w:ind w:left="0"/>
              <w:contextualSpacing w:val="0"/>
            </w:pPr>
            <w:r>
              <w:t>Lowest for prevention programs 63% (Q1) / 80% cum.</w:t>
            </w:r>
          </w:p>
        </w:tc>
        <w:tc>
          <w:tcPr>
            <w:tcW w:w="4507" w:type="dxa"/>
          </w:tcPr>
          <w:p w14:paraId="1FDB8D68" w14:textId="462D16F9" w:rsidR="00091D7D" w:rsidRPr="001571F6" w:rsidRDefault="001C5E41" w:rsidP="00091D7D">
            <w:pPr>
              <w:pStyle w:val="ListParagraph"/>
              <w:spacing w:before="120"/>
              <w:ind w:left="0"/>
              <w:contextualSpacing w:val="0"/>
              <w:jc w:val="both"/>
            </w:pPr>
            <w:r>
              <w:t xml:space="preserve">Revised target for HTS (almost halved) but budget remained. Reminder to ADRA to think of a good use for savings or to inform CCM about amount of savings by E6  </w:t>
            </w:r>
          </w:p>
        </w:tc>
      </w:tr>
    </w:tbl>
    <w:p w14:paraId="38FC3D39" w14:textId="77777777" w:rsidR="00121BA0" w:rsidRDefault="00121BA0" w:rsidP="00121BA0">
      <w:pPr>
        <w:pStyle w:val="ListParagraph"/>
        <w:spacing w:after="120"/>
        <w:ind w:left="360"/>
        <w:contextualSpacing w:val="0"/>
        <w:jc w:val="both"/>
        <w:rPr>
          <w:b/>
        </w:rPr>
      </w:pPr>
    </w:p>
    <w:p w14:paraId="3FC5872D" w14:textId="6773A65C" w:rsidR="000F2954" w:rsidRDefault="0004237F" w:rsidP="000811C0">
      <w:pPr>
        <w:pStyle w:val="ListParagraph"/>
        <w:numPr>
          <w:ilvl w:val="0"/>
          <w:numId w:val="9"/>
        </w:numPr>
        <w:spacing w:after="120"/>
        <w:contextualSpacing w:val="0"/>
        <w:jc w:val="both"/>
        <w:rPr>
          <w:b/>
        </w:rPr>
      </w:pPr>
      <w:r w:rsidRPr="0015382A">
        <w:rPr>
          <w:b/>
        </w:rPr>
        <w:t xml:space="preserve">Management Indicators: </w:t>
      </w:r>
    </w:p>
    <w:tbl>
      <w:tblPr>
        <w:tblStyle w:val="TableGrid"/>
        <w:tblW w:w="0" w:type="auto"/>
        <w:tblInd w:w="357" w:type="dxa"/>
        <w:tblLook w:val="04A0" w:firstRow="1" w:lastRow="0" w:firstColumn="1" w:lastColumn="0" w:noHBand="0" w:noVBand="1"/>
      </w:tblPr>
      <w:tblGrid>
        <w:gridCol w:w="1744"/>
        <w:gridCol w:w="3015"/>
        <w:gridCol w:w="4501"/>
      </w:tblGrid>
      <w:tr w:rsidR="002203D8" w14:paraId="5D343961" w14:textId="77777777" w:rsidTr="003C4668">
        <w:tc>
          <w:tcPr>
            <w:tcW w:w="1744" w:type="dxa"/>
          </w:tcPr>
          <w:p w14:paraId="6330C55F" w14:textId="77777777" w:rsidR="002203D8" w:rsidRDefault="002203D8" w:rsidP="006C3CAE">
            <w:pPr>
              <w:pStyle w:val="ListParagraph"/>
              <w:spacing w:before="120"/>
              <w:ind w:left="0"/>
              <w:contextualSpacing w:val="0"/>
              <w:jc w:val="both"/>
              <w:rPr>
                <w:b/>
              </w:rPr>
            </w:pPr>
            <w:r>
              <w:rPr>
                <w:b/>
              </w:rPr>
              <w:t>Indicator</w:t>
            </w:r>
          </w:p>
        </w:tc>
        <w:tc>
          <w:tcPr>
            <w:tcW w:w="3015" w:type="dxa"/>
          </w:tcPr>
          <w:p w14:paraId="6110C64B" w14:textId="77777777" w:rsidR="002203D8" w:rsidRDefault="002203D8" w:rsidP="006C3CAE">
            <w:pPr>
              <w:pStyle w:val="ListParagraph"/>
              <w:spacing w:before="120"/>
              <w:ind w:left="0"/>
              <w:contextualSpacing w:val="0"/>
              <w:jc w:val="both"/>
              <w:rPr>
                <w:b/>
              </w:rPr>
            </w:pPr>
            <w:r>
              <w:rPr>
                <w:b/>
              </w:rPr>
              <w:t xml:space="preserve">Observation  </w:t>
            </w:r>
          </w:p>
        </w:tc>
        <w:tc>
          <w:tcPr>
            <w:tcW w:w="4501" w:type="dxa"/>
          </w:tcPr>
          <w:p w14:paraId="5B9423F4" w14:textId="77777777" w:rsidR="002203D8" w:rsidRDefault="002203D8" w:rsidP="006C3CAE">
            <w:pPr>
              <w:pStyle w:val="ListParagraph"/>
              <w:spacing w:before="120"/>
              <w:ind w:left="0"/>
              <w:contextualSpacing w:val="0"/>
              <w:jc w:val="both"/>
              <w:rPr>
                <w:b/>
              </w:rPr>
            </w:pPr>
            <w:r>
              <w:rPr>
                <w:b/>
              </w:rPr>
              <w:t xml:space="preserve">Answer / Decision </w:t>
            </w:r>
          </w:p>
        </w:tc>
      </w:tr>
      <w:tr w:rsidR="002203D8" w14:paraId="6C98F449" w14:textId="77777777" w:rsidTr="003C4668">
        <w:trPr>
          <w:trHeight w:val="558"/>
        </w:trPr>
        <w:tc>
          <w:tcPr>
            <w:tcW w:w="1744" w:type="dxa"/>
          </w:tcPr>
          <w:p w14:paraId="233CA708" w14:textId="77777777" w:rsidR="002203D8" w:rsidRDefault="002203D8" w:rsidP="006C3CAE">
            <w:pPr>
              <w:pStyle w:val="ListParagraph"/>
              <w:spacing w:before="120"/>
              <w:ind w:left="0"/>
              <w:contextualSpacing w:val="0"/>
              <w:rPr>
                <w:b/>
              </w:rPr>
            </w:pPr>
            <w:r>
              <w:rPr>
                <w:b/>
              </w:rPr>
              <w:t>Availability of commodities</w:t>
            </w:r>
          </w:p>
        </w:tc>
        <w:tc>
          <w:tcPr>
            <w:tcW w:w="3015" w:type="dxa"/>
          </w:tcPr>
          <w:p w14:paraId="68E0AE87" w14:textId="23BEE386" w:rsidR="002203D8" w:rsidRPr="001571F6" w:rsidRDefault="002203D8" w:rsidP="006C3CAE">
            <w:pPr>
              <w:pStyle w:val="ListParagraph"/>
              <w:spacing w:before="120"/>
              <w:ind w:left="34"/>
            </w:pPr>
          </w:p>
        </w:tc>
        <w:tc>
          <w:tcPr>
            <w:tcW w:w="4501" w:type="dxa"/>
          </w:tcPr>
          <w:p w14:paraId="0E945BF8" w14:textId="39E8B3CF" w:rsidR="002203D8" w:rsidRPr="001571F6" w:rsidRDefault="00470EE9" w:rsidP="006C3CAE">
            <w:pPr>
              <w:pStyle w:val="ListParagraph"/>
              <w:spacing w:before="120"/>
              <w:ind w:left="0"/>
              <w:contextualSpacing w:val="0"/>
            </w:pPr>
            <w:r>
              <w:t xml:space="preserve">Have a request for female condoms, received them in April. Request for 1.2m male condoms. FHD told ADRA that they need approval from GF in order to supply ADRA. </w:t>
            </w:r>
          </w:p>
        </w:tc>
      </w:tr>
    </w:tbl>
    <w:p w14:paraId="17DFB087" w14:textId="77777777" w:rsidR="00E360DF" w:rsidRPr="00463ABD" w:rsidRDefault="00E360DF" w:rsidP="000811C0">
      <w:pPr>
        <w:pStyle w:val="ListParagraph"/>
        <w:numPr>
          <w:ilvl w:val="0"/>
          <w:numId w:val="9"/>
        </w:numPr>
        <w:spacing w:before="360" w:after="120"/>
        <w:contextualSpacing w:val="0"/>
        <w:jc w:val="both"/>
      </w:pPr>
      <w:r w:rsidRPr="007D6E1C">
        <w:rPr>
          <w:b/>
        </w:rPr>
        <w:lastRenderedPageBreak/>
        <w:t>Programmatic Indicators:</w:t>
      </w:r>
    </w:p>
    <w:tbl>
      <w:tblPr>
        <w:tblStyle w:val="TableGrid"/>
        <w:tblW w:w="0" w:type="auto"/>
        <w:tblInd w:w="357" w:type="dxa"/>
        <w:tblLook w:val="04A0" w:firstRow="1" w:lastRow="0" w:firstColumn="1" w:lastColumn="0" w:noHBand="0" w:noVBand="1"/>
      </w:tblPr>
      <w:tblGrid>
        <w:gridCol w:w="1736"/>
        <w:gridCol w:w="3011"/>
        <w:gridCol w:w="4513"/>
      </w:tblGrid>
      <w:tr w:rsidR="00641878" w14:paraId="32697870" w14:textId="77777777" w:rsidTr="002203D8">
        <w:tc>
          <w:tcPr>
            <w:tcW w:w="1736" w:type="dxa"/>
          </w:tcPr>
          <w:p w14:paraId="7B83E316" w14:textId="77777777" w:rsidR="00641878" w:rsidRDefault="00641878" w:rsidP="006F645C">
            <w:pPr>
              <w:pStyle w:val="ListParagraph"/>
              <w:spacing w:before="120"/>
              <w:ind w:left="0"/>
              <w:contextualSpacing w:val="0"/>
              <w:jc w:val="both"/>
              <w:rPr>
                <w:b/>
              </w:rPr>
            </w:pPr>
            <w:r>
              <w:rPr>
                <w:b/>
              </w:rPr>
              <w:t>Indicator</w:t>
            </w:r>
          </w:p>
        </w:tc>
        <w:tc>
          <w:tcPr>
            <w:tcW w:w="3011" w:type="dxa"/>
          </w:tcPr>
          <w:p w14:paraId="0DABBE1A" w14:textId="77777777" w:rsidR="00641878" w:rsidRDefault="00641878" w:rsidP="006F645C">
            <w:pPr>
              <w:pStyle w:val="ListParagraph"/>
              <w:spacing w:before="120"/>
              <w:ind w:left="0"/>
              <w:contextualSpacing w:val="0"/>
              <w:jc w:val="both"/>
              <w:rPr>
                <w:b/>
              </w:rPr>
            </w:pPr>
            <w:r>
              <w:rPr>
                <w:b/>
              </w:rPr>
              <w:t xml:space="preserve">Observation  </w:t>
            </w:r>
          </w:p>
        </w:tc>
        <w:tc>
          <w:tcPr>
            <w:tcW w:w="4513" w:type="dxa"/>
          </w:tcPr>
          <w:p w14:paraId="10A8AFB5" w14:textId="77777777" w:rsidR="00641878" w:rsidRDefault="00641878" w:rsidP="006F645C">
            <w:pPr>
              <w:pStyle w:val="ListParagraph"/>
              <w:spacing w:before="120"/>
              <w:ind w:left="0"/>
              <w:contextualSpacing w:val="0"/>
              <w:jc w:val="both"/>
              <w:rPr>
                <w:b/>
              </w:rPr>
            </w:pPr>
            <w:r>
              <w:rPr>
                <w:b/>
              </w:rPr>
              <w:t xml:space="preserve">Answer / Decision </w:t>
            </w:r>
          </w:p>
        </w:tc>
      </w:tr>
      <w:tr w:rsidR="002203D8" w:rsidRPr="001571F6" w14:paraId="5C54645F" w14:textId="77777777" w:rsidTr="002203D8">
        <w:tc>
          <w:tcPr>
            <w:tcW w:w="1736" w:type="dxa"/>
          </w:tcPr>
          <w:p w14:paraId="5B466122" w14:textId="77777777" w:rsidR="002203D8" w:rsidRDefault="002203D8" w:rsidP="006C3CAE">
            <w:pPr>
              <w:pStyle w:val="ListParagraph"/>
              <w:spacing w:before="120"/>
              <w:ind w:left="0"/>
              <w:contextualSpacing w:val="0"/>
              <w:rPr>
                <w:b/>
              </w:rPr>
            </w:pPr>
            <w:r>
              <w:rPr>
                <w:b/>
              </w:rPr>
              <w:t>HTS</w:t>
            </w:r>
          </w:p>
        </w:tc>
        <w:tc>
          <w:tcPr>
            <w:tcW w:w="3011" w:type="dxa"/>
          </w:tcPr>
          <w:p w14:paraId="3609430C" w14:textId="77777777" w:rsidR="002203D8" w:rsidRPr="001571F6" w:rsidRDefault="002203D8" w:rsidP="006C3CAE">
            <w:pPr>
              <w:pStyle w:val="ListParagraph"/>
              <w:spacing w:before="120"/>
              <w:ind w:left="0"/>
              <w:contextualSpacing w:val="0"/>
            </w:pPr>
          </w:p>
        </w:tc>
        <w:tc>
          <w:tcPr>
            <w:tcW w:w="4513" w:type="dxa"/>
          </w:tcPr>
          <w:p w14:paraId="1C5DFA34" w14:textId="287E08F3" w:rsidR="002203D8" w:rsidRPr="001571F6" w:rsidRDefault="001C5E41" w:rsidP="006C3CAE">
            <w:pPr>
              <w:pStyle w:val="ListParagraph"/>
              <w:spacing w:before="120"/>
              <w:ind w:left="0"/>
              <w:contextualSpacing w:val="0"/>
            </w:pPr>
            <w:r>
              <w:t>Q1: 51 cases diagnosed, 45 enrolled in treatment</w:t>
            </w:r>
            <w:r w:rsidR="000873B2">
              <w:t>. For the remaining efforts underway to enroll them timely</w:t>
            </w:r>
          </w:p>
        </w:tc>
      </w:tr>
      <w:tr w:rsidR="002203D8" w:rsidRPr="001571F6" w14:paraId="1C4ADE4C" w14:textId="77777777" w:rsidTr="002203D8">
        <w:tc>
          <w:tcPr>
            <w:tcW w:w="1736" w:type="dxa"/>
          </w:tcPr>
          <w:p w14:paraId="64313BA3" w14:textId="77777777" w:rsidR="002203D8" w:rsidRDefault="002203D8" w:rsidP="006C3CAE">
            <w:pPr>
              <w:pStyle w:val="ListParagraph"/>
              <w:spacing w:before="120"/>
              <w:ind w:left="0"/>
              <w:contextualSpacing w:val="0"/>
              <w:rPr>
                <w:b/>
              </w:rPr>
            </w:pPr>
            <w:r>
              <w:rPr>
                <w:b/>
              </w:rPr>
              <w:t>Referral by PEs</w:t>
            </w:r>
          </w:p>
        </w:tc>
        <w:tc>
          <w:tcPr>
            <w:tcW w:w="3011" w:type="dxa"/>
          </w:tcPr>
          <w:p w14:paraId="4FC9C377" w14:textId="5BE23E36" w:rsidR="002203D8" w:rsidRPr="001571F6" w:rsidRDefault="002203D8" w:rsidP="004678F0">
            <w:pPr>
              <w:pStyle w:val="ListParagraph"/>
              <w:spacing w:before="120"/>
              <w:ind w:left="0"/>
              <w:contextualSpacing w:val="0"/>
            </w:pPr>
            <w:r>
              <w:t>Consistently low results for MIHOSO</w:t>
            </w:r>
          </w:p>
        </w:tc>
        <w:tc>
          <w:tcPr>
            <w:tcW w:w="4513" w:type="dxa"/>
          </w:tcPr>
          <w:p w14:paraId="0A5C919D" w14:textId="77777777" w:rsidR="002203D8" w:rsidRPr="001571F6" w:rsidRDefault="002203D8" w:rsidP="006C3CAE">
            <w:pPr>
              <w:pStyle w:val="ListParagraph"/>
              <w:spacing w:before="120"/>
              <w:ind w:left="0"/>
              <w:contextualSpacing w:val="0"/>
            </w:pPr>
          </w:p>
        </w:tc>
      </w:tr>
      <w:tr w:rsidR="002203D8" w:rsidRPr="001571F6" w14:paraId="2232027E" w14:textId="77777777" w:rsidTr="002203D8">
        <w:tc>
          <w:tcPr>
            <w:tcW w:w="1736" w:type="dxa"/>
          </w:tcPr>
          <w:p w14:paraId="422D2B92" w14:textId="77777777" w:rsidR="002203D8" w:rsidRDefault="002203D8" w:rsidP="002203D8">
            <w:pPr>
              <w:pStyle w:val="ListParagraph"/>
              <w:spacing w:before="120"/>
              <w:ind w:left="0"/>
              <w:contextualSpacing w:val="0"/>
              <w:rPr>
                <w:b/>
              </w:rPr>
            </w:pPr>
            <w:r>
              <w:rPr>
                <w:b/>
              </w:rPr>
              <w:t># referred KPs receiving services at DICs</w:t>
            </w:r>
          </w:p>
        </w:tc>
        <w:tc>
          <w:tcPr>
            <w:tcW w:w="3011" w:type="dxa"/>
          </w:tcPr>
          <w:p w14:paraId="59ED6172" w14:textId="684B43B5" w:rsidR="002203D8" w:rsidRPr="001571F6" w:rsidRDefault="004678F0" w:rsidP="002203D8">
            <w:pPr>
              <w:pStyle w:val="ListParagraph"/>
              <w:spacing w:before="120"/>
              <w:ind w:left="0"/>
              <w:contextualSpacing w:val="0"/>
            </w:pPr>
            <w:r>
              <w:t>Significant improvement for all SRs</w:t>
            </w:r>
          </w:p>
        </w:tc>
        <w:tc>
          <w:tcPr>
            <w:tcW w:w="4513" w:type="dxa"/>
          </w:tcPr>
          <w:p w14:paraId="02C0315A" w14:textId="2A716952" w:rsidR="002203D8" w:rsidRPr="001571F6" w:rsidRDefault="002203D8" w:rsidP="002203D8">
            <w:pPr>
              <w:pStyle w:val="ListParagraph"/>
              <w:spacing w:before="120"/>
              <w:ind w:left="0"/>
              <w:contextualSpacing w:val="0"/>
            </w:pPr>
          </w:p>
        </w:tc>
      </w:tr>
    </w:tbl>
    <w:p w14:paraId="639B613A" w14:textId="76B14FE0" w:rsidR="007C3609" w:rsidRPr="007C3609" w:rsidRDefault="007C3609" w:rsidP="000811C0">
      <w:pPr>
        <w:pStyle w:val="ListParagraph"/>
        <w:numPr>
          <w:ilvl w:val="0"/>
          <w:numId w:val="9"/>
        </w:numPr>
        <w:spacing w:before="360" w:after="120"/>
        <w:contextualSpacing w:val="0"/>
        <w:jc w:val="both"/>
        <w:rPr>
          <w:b/>
        </w:rPr>
      </w:pPr>
      <w:r w:rsidRPr="007C3609">
        <w:rPr>
          <w:b/>
        </w:rPr>
        <w:t xml:space="preserve">Challenges expected during the next six months: </w:t>
      </w:r>
      <w:r w:rsidR="009861E5" w:rsidRPr="009861E5">
        <w:t>male</w:t>
      </w:r>
      <w:r w:rsidR="009861E5">
        <w:rPr>
          <w:b/>
        </w:rPr>
        <w:t xml:space="preserve"> </w:t>
      </w:r>
      <w:r w:rsidR="009861E5" w:rsidRPr="009861E5">
        <w:t>condom availability</w:t>
      </w:r>
    </w:p>
    <w:p w14:paraId="55D42494" w14:textId="77777777" w:rsidR="00C41A04" w:rsidRPr="00C41A04" w:rsidRDefault="00E360DF" w:rsidP="000811C0">
      <w:pPr>
        <w:pStyle w:val="ListParagraph"/>
        <w:numPr>
          <w:ilvl w:val="0"/>
          <w:numId w:val="9"/>
        </w:numPr>
        <w:spacing w:before="240" w:after="0"/>
        <w:contextualSpacing w:val="0"/>
        <w:jc w:val="both"/>
      </w:pPr>
      <w:r>
        <w:rPr>
          <w:b/>
        </w:rPr>
        <w:t>Recommendations:</w:t>
      </w:r>
      <w:r w:rsidR="00043AFF">
        <w:rPr>
          <w:b/>
        </w:rPr>
        <w:t xml:space="preserve"> </w:t>
      </w:r>
    </w:p>
    <w:p w14:paraId="419AB0FF" w14:textId="468C2BCA" w:rsidR="004E44D8" w:rsidRDefault="009861E5" w:rsidP="00C41A04">
      <w:pPr>
        <w:pStyle w:val="ListParagraph"/>
        <w:numPr>
          <w:ilvl w:val="0"/>
          <w:numId w:val="15"/>
        </w:numPr>
        <w:spacing w:after="0" w:line="240" w:lineRule="auto"/>
        <w:contextualSpacing w:val="0"/>
        <w:jc w:val="both"/>
      </w:pPr>
      <w:r w:rsidRPr="009861E5">
        <w:t>CCM to follow up on condom availability</w:t>
      </w:r>
      <w:r w:rsidR="00C41A04">
        <w:t xml:space="preserve">. </w:t>
      </w:r>
    </w:p>
    <w:p w14:paraId="2E624565" w14:textId="52005419" w:rsidR="00C41A04" w:rsidRPr="004E44D8" w:rsidRDefault="00C41A04" w:rsidP="00C41A04">
      <w:pPr>
        <w:pStyle w:val="ListParagraph"/>
        <w:numPr>
          <w:ilvl w:val="0"/>
          <w:numId w:val="15"/>
        </w:numPr>
        <w:spacing w:after="0" w:line="240" w:lineRule="auto"/>
        <w:contextualSpacing w:val="0"/>
        <w:jc w:val="both"/>
      </w:pPr>
      <w:r>
        <w:t xml:space="preserve">ADRA to review possible savings until the end of the year and either use them or inform the CCM if they can be used by other PRs. </w:t>
      </w:r>
    </w:p>
    <w:p w14:paraId="191C66BA" w14:textId="44B8CACE" w:rsidR="007924F1" w:rsidRPr="00A02D02" w:rsidRDefault="007924F1" w:rsidP="002631E0">
      <w:pPr>
        <w:pStyle w:val="ListParagraph"/>
        <w:spacing w:before="120" w:after="120"/>
        <w:contextualSpacing w:val="0"/>
        <w:jc w:val="both"/>
      </w:pPr>
    </w:p>
    <w:p w14:paraId="719DA05E" w14:textId="77777777" w:rsidR="00F1000E" w:rsidRPr="007D3EA9" w:rsidRDefault="00F1000E" w:rsidP="000811C0">
      <w:pPr>
        <w:pStyle w:val="ListParagraph"/>
        <w:numPr>
          <w:ilvl w:val="0"/>
          <w:numId w:val="1"/>
        </w:numPr>
        <w:contextualSpacing w:val="0"/>
        <w:jc w:val="both"/>
        <w:rPr>
          <w:b/>
          <w:color w:val="C00000"/>
          <w:sz w:val="24"/>
          <w:szCs w:val="24"/>
        </w:rPr>
      </w:pPr>
      <w:r w:rsidRPr="007D3EA9">
        <w:rPr>
          <w:b/>
          <w:color w:val="C00000"/>
          <w:sz w:val="24"/>
          <w:szCs w:val="24"/>
        </w:rPr>
        <w:t>GAC Dash Board</w:t>
      </w:r>
    </w:p>
    <w:p w14:paraId="471E3C32" w14:textId="77777777" w:rsidR="008350BF" w:rsidRDefault="008350BF" w:rsidP="000811C0">
      <w:pPr>
        <w:pStyle w:val="ListParagraph"/>
        <w:numPr>
          <w:ilvl w:val="0"/>
          <w:numId w:val="4"/>
        </w:numPr>
        <w:spacing w:after="120"/>
        <w:ind w:left="357" w:hanging="357"/>
        <w:jc w:val="both"/>
        <w:rPr>
          <w:b/>
        </w:rPr>
      </w:pPr>
      <w:r>
        <w:rPr>
          <w:b/>
        </w:rPr>
        <w:t>Follow up:</w:t>
      </w:r>
    </w:p>
    <w:p w14:paraId="45339865" w14:textId="062A1EDC" w:rsidR="00EA0EBC" w:rsidRDefault="00EA0EBC" w:rsidP="000811C0">
      <w:pPr>
        <w:pStyle w:val="ListParagraph"/>
        <w:numPr>
          <w:ilvl w:val="0"/>
          <w:numId w:val="11"/>
        </w:numPr>
        <w:spacing w:after="0"/>
        <w:contextualSpacing w:val="0"/>
        <w:jc w:val="both"/>
      </w:pPr>
      <w:r w:rsidRPr="00701F8B">
        <w:rPr>
          <w:b/>
        </w:rPr>
        <w:t>Feedback from SR on condom quality issues:</w:t>
      </w:r>
      <w:r w:rsidR="00B06D2C">
        <w:rPr>
          <w:b/>
        </w:rPr>
        <w:t xml:space="preserve"> </w:t>
      </w:r>
      <w:r w:rsidR="00FD1DB0">
        <w:t xml:space="preserve">As long as there </w:t>
      </w:r>
      <w:r w:rsidR="000873B2">
        <w:t xml:space="preserve">are </w:t>
      </w:r>
      <w:r w:rsidR="00FD1DB0">
        <w:t xml:space="preserve">no official complaints, this issue is laid to rest because of lack of evidence. </w:t>
      </w:r>
    </w:p>
    <w:p w14:paraId="48B1C1F8" w14:textId="77777777" w:rsidR="00FD1DB0" w:rsidRDefault="00AD0D3B" w:rsidP="000811C0">
      <w:pPr>
        <w:pStyle w:val="ListParagraph"/>
        <w:numPr>
          <w:ilvl w:val="0"/>
          <w:numId w:val="11"/>
        </w:numPr>
        <w:spacing w:after="0"/>
        <w:contextualSpacing w:val="0"/>
        <w:jc w:val="both"/>
      </w:pPr>
      <w:r>
        <w:rPr>
          <w:b/>
        </w:rPr>
        <w:t>Reprogramming request:</w:t>
      </w:r>
      <w:r>
        <w:t xml:space="preserve"> </w:t>
      </w:r>
      <w:r w:rsidR="00FD1DB0">
        <w:t>25 activities. 15 were approved:</w:t>
      </w:r>
    </w:p>
    <w:p w14:paraId="6F962290" w14:textId="6278D251" w:rsidR="00FD1DB0" w:rsidRDefault="00FD1DB0" w:rsidP="00FD1DB0">
      <w:pPr>
        <w:pStyle w:val="ListParagraph"/>
        <w:numPr>
          <w:ilvl w:val="1"/>
          <w:numId w:val="11"/>
        </w:numPr>
        <w:spacing w:after="0"/>
        <w:contextualSpacing w:val="0"/>
        <w:jc w:val="both"/>
      </w:pPr>
      <w:r>
        <w:t>Increase in salaries WAPCAS staff incl. SSR, and WAAF and NAP,</w:t>
      </w:r>
      <w:r w:rsidRPr="00FD1DB0">
        <w:t xml:space="preserve"> </w:t>
      </w:r>
      <w:r>
        <w:t xml:space="preserve">incl. transport allowance peer educators and MoH, starting April. </w:t>
      </w:r>
    </w:p>
    <w:p w14:paraId="6789B364" w14:textId="77777777" w:rsidR="00FD1DB0" w:rsidRDefault="00FD1DB0" w:rsidP="00FD1DB0">
      <w:pPr>
        <w:pStyle w:val="ListParagraph"/>
        <w:numPr>
          <w:ilvl w:val="1"/>
          <w:numId w:val="11"/>
        </w:numPr>
        <w:spacing w:after="0"/>
        <w:contextualSpacing w:val="0"/>
        <w:jc w:val="both"/>
      </w:pPr>
      <w:r>
        <w:t xml:space="preserve">Dissemination of task shifting policy, waiting for NACP and signature of DG. </w:t>
      </w:r>
    </w:p>
    <w:p w14:paraId="28CAE811" w14:textId="28B3FCA4" w:rsidR="00AD0D3B" w:rsidRDefault="00FD1DB0" w:rsidP="00FD1DB0">
      <w:pPr>
        <w:pStyle w:val="ListParagraph"/>
        <w:numPr>
          <w:ilvl w:val="1"/>
          <w:numId w:val="11"/>
        </w:numPr>
        <w:spacing w:after="0"/>
        <w:contextualSpacing w:val="0"/>
        <w:jc w:val="both"/>
      </w:pPr>
      <w:r>
        <w:t xml:space="preserve">Quality of service assessment KP programs </w:t>
      </w:r>
    </w:p>
    <w:p w14:paraId="1BEFD5FB" w14:textId="284B0E85" w:rsidR="00FD1DB0" w:rsidRDefault="00FD1DB0" w:rsidP="00FD1DB0">
      <w:pPr>
        <w:pStyle w:val="ListParagraph"/>
        <w:numPr>
          <w:ilvl w:val="1"/>
          <w:numId w:val="11"/>
        </w:numPr>
        <w:spacing w:after="0"/>
        <w:contextualSpacing w:val="0"/>
        <w:jc w:val="both"/>
      </w:pPr>
      <w:r>
        <w:t>HR assessment – local ownership needed</w:t>
      </w:r>
    </w:p>
    <w:p w14:paraId="50294AA3" w14:textId="50B17586" w:rsidR="00FD1DB0" w:rsidRDefault="008E40E8" w:rsidP="00FD1DB0">
      <w:pPr>
        <w:pStyle w:val="ListParagraph"/>
        <w:numPr>
          <w:ilvl w:val="1"/>
          <w:numId w:val="11"/>
        </w:numPr>
        <w:spacing w:after="0"/>
        <w:contextualSpacing w:val="0"/>
        <w:jc w:val="both"/>
      </w:pPr>
      <w:r>
        <w:t xml:space="preserve">Printing of 90-90-90 infographics </w:t>
      </w:r>
    </w:p>
    <w:p w14:paraId="4615E2FA" w14:textId="03D90AB7" w:rsidR="008E40E8" w:rsidRDefault="008E40E8" w:rsidP="00FD1DB0">
      <w:pPr>
        <w:pStyle w:val="ListParagraph"/>
        <w:numPr>
          <w:ilvl w:val="1"/>
          <w:numId w:val="11"/>
        </w:numPr>
        <w:spacing w:after="0"/>
        <w:contextualSpacing w:val="0"/>
        <w:jc w:val="both"/>
      </w:pPr>
      <w:r>
        <w:t>NASA</w:t>
      </w:r>
    </w:p>
    <w:p w14:paraId="42F67450" w14:textId="7095A083" w:rsidR="008E40E8" w:rsidRDefault="008E40E8" w:rsidP="00FD1DB0">
      <w:pPr>
        <w:pStyle w:val="ListParagraph"/>
        <w:numPr>
          <w:ilvl w:val="1"/>
          <w:numId w:val="11"/>
        </w:numPr>
        <w:spacing w:after="0"/>
        <w:contextualSpacing w:val="0"/>
        <w:jc w:val="both"/>
      </w:pPr>
      <w:r>
        <w:t>Training of 62 lay counsellors, start 11</w:t>
      </w:r>
      <w:r w:rsidRPr="008E40E8">
        <w:rPr>
          <w:vertAlign w:val="superscript"/>
        </w:rPr>
        <w:t>th</w:t>
      </w:r>
      <w:r>
        <w:t xml:space="preserve"> June</w:t>
      </w:r>
    </w:p>
    <w:p w14:paraId="77A0759A" w14:textId="77777777" w:rsidR="008E40E8" w:rsidRDefault="008E40E8" w:rsidP="00FD1DB0">
      <w:pPr>
        <w:pStyle w:val="ListParagraph"/>
        <w:numPr>
          <w:ilvl w:val="1"/>
          <w:numId w:val="11"/>
        </w:numPr>
        <w:spacing w:after="0"/>
        <w:contextualSpacing w:val="0"/>
        <w:jc w:val="both"/>
      </w:pPr>
      <w:r>
        <w:t>GIS training for SRs (for hotspot mapping)</w:t>
      </w:r>
    </w:p>
    <w:p w14:paraId="78097875" w14:textId="77777777" w:rsidR="008E40E8" w:rsidRDefault="008E40E8" w:rsidP="00FD1DB0">
      <w:pPr>
        <w:pStyle w:val="ListParagraph"/>
        <w:numPr>
          <w:ilvl w:val="1"/>
          <w:numId w:val="11"/>
        </w:numPr>
        <w:spacing w:after="0"/>
        <w:contextualSpacing w:val="0"/>
        <w:jc w:val="both"/>
      </w:pPr>
      <w:r>
        <w:t>Purchase of equipment for WAPCAS</w:t>
      </w:r>
    </w:p>
    <w:p w14:paraId="0C250D1D" w14:textId="36BE302D" w:rsidR="008E40E8" w:rsidRDefault="008E40E8" w:rsidP="008E40E8">
      <w:pPr>
        <w:spacing w:after="0"/>
        <w:ind w:left="357"/>
        <w:jc w:val="both"/>
      </w:pPr>
      <w:r>
        <w:t>What was not approved (no reasons given):</w:t>
      </w:r>
    </w:p>
    <w:p w14:paraId="373BC637" w14:textId="3C1BA12A" w:rsidR="008E40E8" w:rsidRDefault="008E40E8" w:rsidP="008E40E8">
      <w:pPr>
        <w:pStyle w:val="ListParagraph"/>
        <w:numPr>
          <w:ilvl w:val="1"/>
          <w:numId w:val="1"/>
        </w:numPr>
        <w:spacing w:after="0"/>
        <w:ind w:left="1418"/>
        <w:jc w:val="both"/>
      </w:pPr>
      <w:r>
        <w:t xml:space="preserve">MoH regional support meeting </w:t>
      </w:r>
      <w:r w:rsidR="002F07E5">
        <w:t>(will still be implemented one way or another)</w:t>
      </w:r>
    </w:p>
    <w:p w14:paraId="394B0D82" w14:textId="7CC422EE" w:rsidR="008E40E8" w:rsidRDefault="008E40E8" w:rsidP="008E40E8">
      <w:pPr>
        <w:pStyle w:val="ListParagraph"/>
        <w:numPr>
          <w:ilvl w:val="1"/>
          <w:numId w:val="1"/>
        </w:numPr>
        <w:spacing w:after="0"/>
        <w:ind w:left="1418"/>
        <w:jc w:val="both"/>
      </w:pPr>
      <w:r>
        <w:t>Joint 90-90-90 Monitoring</w:t>
      </w:r>
    </w:p>
    <w:p w14:paraId="5820C8CC" w14:textId="224586FB" w:rsidR="008E40E8" w:rsidRDefault="008E40E8" w:rsidP="008E40E8">
      <w:pPr>
        <w:pStyle w:val="ListParagraph"/>
        <w:numPr>
          <w:ilvl w:val="1"/>
          <w:numId w:val="1"/>
        </w:numPr>
        <w:spacing w:after="0"/>
        <w:ind w:left="1418"/>
        <w:jc w:val="both"/>
      </w:pPr>
      <w:r>
        <w:t xml:space="preserve">Vehicles for 90-90-90 monitoring </w:t>
      </w:r>
      <w:r w:rsidR="002F07E5">
        <w:t>(problem: big maintenance / renting cost)</w:t>
      </w:r>
    </w:p>
    <w:p w14:paraId="362FC6AA" w14:textId="31B96BC6" w:rsidR="008E40E8" w:rsidRDefault="008E40E8" w:rsidP="008E40E8">
      <w:pPr>
        <w:pStyle w:val="ListParagraph"/>
        <w:numPr>
          <w:ilvl w:val="1"/>
          <w:numId w:val="1"/>
        </w:numPr>
        <w:spacing w:after="0"/>
        <w:ind w:left="1418"/>
        <w:jc w:val="both"/>
      </w:pPr>
      <w:r>
        <w:t>Financial system upgrade</w:t>
      </w:r>
    </w:p>
    <w:p w14:paraId="31686020" w14:textId="061E7755" w:rsidR="008E40E8" w:rsidRDefault="008E40E8" w:rsidP="008E40E8">
      <w:pPr>
        <w:pStyle w:val="ListParagraph"/>
        <w:numPr>
          <w:ilvl w:val="1"/>
          <w:numId w:val="1"/>
        </w:numPr>
        <w:spacing w:after="0"/>
        <w:ind w:left="1418"/>
        <w:jc w:val="both"/>
      </w:pPr>
      <w:r>
        <w:t>Outreach PMTCT promoters</w:t>
      </w:r>
    </w:p>
    <w:p w14:paraId="0C3C7343" w14:textId="4406DBE9" w:rsidR="008E40E8" w:rsidRDefault="008E40E8" w:rsidP="008E40E8">
      <w:pPr>
        <w:pStyle w:val="ListParagraph"/>
        <w:numPr>
          <w:ilvl w:val="1"/>
          <w:numId w:val="1"/>
        </w:numPr>
        <w:spacing w:after="0"/>
        <w:ind w:left="1418"/>
        <w:jc w:val="both"/>
      </w:pPr>
      <w:r>
        <w:t>Selection of additional MoH and PEs</w:t>
      </w:r>
      <w:r w:rsidR="000873B2">
        <w:t xml:space="preserve"> due to unclear sustainability in 2018 and beyond</w:t>
      </w:r>
    </w:p>
    <w:p w14:paraId="59A11698" w14:textId="676EC079" w:rsidR="002F07E5" w:rsidRDefault="002F07E5" w:rsidP="002F07E5">
      <w:pPr>
        <w:pStyle w:val="ListParagraph"/>
        <w:numPr>
          <w:ilvl w:val="1"/>
          <w:numId w:val="1"/>
        </w:numPr>
        <w:spacing w:after="0"/>
        <w:ind w:left="1418"/>
        <w:jc w:val="both"/>
      </w:pPr>
      <w:r>
        <w:t>Additional DICs</w:t>
      </w:r>
    </w:p>
    <w:p w14:paraId="1EDAC131" w14:textId="49324978" w:rsidR="002F07E5" w:rsidRDefault="002F07E5" w:rsidP="002F07E5">
      <w:pPr>
        <w:pStyle w:val="ListParagraph"/>
        <w:numPr>
          <w:ilvl w:val="1"/>
          <w:numId w:val="1"/>
        </w:numPr>
        <w:spacing w:after="0"/>
        <w:ind w:left="1418"/>
        <w:jc w:val="both"/>
      </w:pPr>
      <w:r>
        <w:t>Condom vending machines</w:t>
      </w:r>
    </w:p>
    <w:p w14:paraId="03555AD9" w14:textId="0F5076C8" w:rsidR="0022135F" w:rsidRDefault="0022135F" w:rsidP="0022135F">
      <w:pPr>
        <w:spacing w:after="0"/>
        <w:ind w:firstLine="357"/>
        <w:jc w:val="both"/>
      </w:pPr>
      <w:r>
        <w:t xml:space="preserve">Decision on non-approved interventions is considered as final. </w:t>
      </w:r>
    </w:p>
    <w:p w14:paraId="00D781A8" w14:textId="77777777" w:rsidR="008350BF" w:rsidRPr="000873B2" w:rsidRDefault="008350BF" w:rsidP="000873B2">
      <w:pPr>
        <w:spacing w:before="240" w:after="0"/>
        <w:jc w:val="both"/>
        <w:rPr>
          <w:b/>
          <w:sz w:val="24"/>
          <w:szCs w:val="24"/>
        </w:rPr>
      </w:pPr>
    </w:p>
    <w:p w14:paraId="6695AE72" w14:textId="77777777" w:rsidR="00F1000E" w:rsidRPr="00962157" w:rsidRDefault="00F1000E" w:rsidP="000811C0">
      <w:pPr>
        <w:pStyle w:val="ListParagraph"/>
        <w:numPr>
          <w:ilvl w:val="0"/>
          <w:numId w:val="4"/>
        </w:numPr>
        <w:spacing w:after="120"/>
        <w:ind w:left="357" w:hanging="357"/>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883"/>
        <w:gridCol w:w="2887"/>
        <w:gridCol w:w="4490"/>
      </w:tblGrid>
      <w:tr w:rsidR="00F1000E" w14:paraId="74DF83EE" w14:textId="77777777" w:rsidTr="00184781">
        <w:tc>
          <w:tcPr>
            <w:tcW w:w="1883" w:type="dxa"/>
          </w:tcPr>
          <w:p w14:paraId="17522FE6" w14:textId="77777777" w:rsidR="00F1000E" w:rsidRDefault="00F1000E" w:rsidP="007461FA">
            <w:pPr>
              <w:pStyle w:val="ListParagraph"/>
              <w:spacing w:before="120"/>
              <w:ind w:left="0"/>
              <w:contextualSpacing w:val="0"/>
              <w:jc w:val="both"/>
              <w:rPr>
                <w:b/>
              </w:rPr>
            </w:pPr>
            <w:r>
              <w:rPr>
                <w:b/>
              </w:rPr>
              <w:t>Indicator</w:t>
            </w:r>
          </w:p>
        </w:tc>
        <w:tc>
          <w:tcPr>
            <w:tcW w:w="2887" w:type="dxa"/>
          </w:tcPr>
          <w:p w14:paraId="47043963" w14:textId="77777777" w:rsidR="00F1000E" w:rsidRDefault="00F1000E" w:rsidP="007461FA">
            <w:pPr>
              <w:pStyle w:val="ListParagraph"/>
              <w:spacing w:before="120"/>
              <w:ind w:left="0"/>
              <w:contextualSpacing w:val="0"/>
              <w:jc w:val="both"/>
              <w:rPr>
                <w:b/>
              </w:rPr>
            </w:pPr>
            <w:r>
              <w:rPr>
                <w:b/>
              </w:rPr>
              <w:t xml:space="preserve">Observation </w:t>
            </w:r>
          </w:p>
        </w:tc>
        <w:tc>
          <w:tcPr>
            <w:tcW w:w="4490" w:type="dxa"/>
          </w:tcPr>
          <w:p w14:paraId="081A529A" w14:textId="77777777" w:rsidR="00F1000E" w:rsidRDefault="00F1000E" w:rsidP="007461FA">
            <w:pPr>
              <w:pStyle w:val="ListParagraph"/>
              <w:spacing w:before="120"/>
              <w:ind w:left="0"/>
              <w:contextualSpacing w:val="0"/>
              <w:jc w:val="both"/>
              <w:rPr>
                <w:b/>
              </w:rPr>
            </w:pPr>
            <w:r>
              <w:rPr>
                <w:b/>
              </w:rPr>
              <w:t xml:space="preserve">Answer / Decision </w:t>
            </w:r>
          </w:p>
        </w:tc>
      </w:tr>
      <w:tr w:rsidR="00F1000E" w14:paraId="3551E13C" w14:textId="77777777" w:rsidTr="00184781">
        <w:tc>
          <w:tcPr>
            <w:tcW w:w="1883" w:type="dxa"/>
          </w:tcPr>
          <w:p w14:paraId="3DD5452F" w14:textId="77777777" w:rsidR="00F1000E" w:rsidRDefault="00F1000E" w:rsidP="007461FA">
            <w:pPr>
              <w:pStyle w:val="ListParagraph"/>
              <w:spacing w:before="120"/>
              <w:ind w:left="0"/>
              <w:contextualSpacing w:val="0"/>
              <w:jc w:val="both"/>
              <w:rPr>
                <w:b/>
              </w:rPr>
            </w:pPr>
            <w:r>
              <w:rPr>
                <w:b/>
              </w:rPr>
              <w:t>Absorption rate</w:t>
            </w:r>
          </w:p>
        </w:tc>
        <w:tc>
          <w:tcPr>
            <w:tcW w:w="2887" w:type="dxa"/>
          </w:tcPr>
          <w:p w14:paraId="76D68E89" w14:textId="1D059F62" w:rsidR="00F1000E" w:rsidRDefault="000873B2" w:rsidP="002A0B23">
            <w:pPr>
              <w:pStyle w:val="ListParagraph"/>
              <w:spacing w:before="120"/>
              <w:ind w:left="0"/>
              <w:contextualSpacing w:val="0"/>
            </w:pPr>
            <w:r>
              <w:t xml:space="preserve">81% cum, 88% Q1. </w:t>
            </w:r>
          </w:p>
          <w:p w14:paraId="39CC0280" w14:textId="3621425A" w:rsidR="00A80909" w:rsidRPr="001571F6" w:rsidRDefault="00626869" w:rsidP="002A0B23">
            <w:pPr>
              <w:pStyle w:val="ListParagraph"/>
              <w:spacing w:before="120"/>
              <w:ind w:left="0"/>
              <w:contextualSpacing w:val="0"/>
            </w:pPr>
            <w:r>
              <w:t>Burn rate higher than d</w:t>
            </w:r>
            <w:r w:rsidR="000873B2">
              <w:t>isbursement rate but still &lt;90%</w:t>
            </w:r>
          </w:p>
        </w:tc>
        <w:tc>
          <w:tcPr>
            <w:tcW w:w="4490" w:type="dxa"/>
          </w:tcPr>
          <w:p w14:paraId="09882E16" w14:textId="77777777" w:rsidR="00F1000E" w:rsidRDefault="005B61EB" w:rsidP="002A0B23">
            <w:pPr>
              <w:pStyle w:val="ListParagraph"/>
              <w:spacing w:before="120"/>
              <w:ind w:left="0"/>
              <w:contextualSpacing w:val="0"/>
            </w:pPr>
            <w:r>
              <w:t xml:space="preserve">Funds that were reimbursed by health facilities or condom sales not included in the DB. </w:t>
            </w:r>
          </w:p>
          <w:p w14:paraId="6288CDF3" w14:textId="29785BFE" w:rsidR="005B61EB" w:rsidRPr="001571F6" w:rsidRDefault="005B61EB" w:rsidP="002A0B23">
            <w:pPr>
              <w:pStyle w:val="ListParagraph"/>
              <w:spacing w:before="120"/>
              <w:ind w:left="0"/>
              <w:contextualSpacing w:val="0"/>
            </w:pPr>
            <w:r>
              <w:t xml:space="preserve">No </w:t>
            </w:r>
            <w:r w:rsidR="000873B2">
              <w:t>liquidity</w:t>
            </w:r>
            <w:r>
              <w:t xml:space="preserve"> challenges. GAC ha</w:t>
            </w:r>
            <w:r w:rsidR="000873B2">
              <w:t>d</w:t>
            </w:r>
            <w:r>
              <w:t xml:space="preserve"> the funds they need</w:t>
            </w:r>
            <w:r w:rsidR="000873B2">
              <w:t>ed.</w:t>
            </w:r>
          </w:p>
        </w:tc>
      </w:tr>
      <w:tr w:rsidR="00184781" w14:paraId="52E4E80D" w14:textId="77777777" w:rsidTr="00184781">
        <w:tc>
          <w:tcPr>
            <w:tcW w:w="1883" w:type="dxa"/>
          </w:tcPr>
          <w:p w14:paraId="31C495B0" w14:textId="77777777" w:rsidR="00184781" w:rsidRDefault="00184781" w:rsidP="00AA23C2">
            <w:pPr>
              <w:pStyle w:val="ListParagraph"/>
              <w:spacing w:before="120"/>
              <w:ind w:left="0"/>
              <w:contextualSpacing w:val="0"/>
              <w:jc w:val="both"/>
              <w:rPr>
                <w:b/>
              </w:rPr>
            </w:pPr>
            <w:r>
              <w:rPr>
                <w:b/>
              </w:rPr>
              <w:t>Disaggregated absorption rate by SR</w:t>
            </w:r>
          </w:p>
        </w:tc>
        <w:tc>
          <w:tcPr>
            <w:tcW w:w="2887" w:type="dxa"/>
          </w:tcPr>
          <w:p w14:paraId="5DAF4E7D" w14:textId="6F97E88E" w:rsidR="00184781" w:rsidRPr="001571F6" w:rsidRDefault="00184781" w:rsidP="00AA23C2">
            <w:pPr>
              <w:pStyle w:val="ListParagraph"/>
              <w:spacing w:before="120"/>
              <w:ind w:left="0"/>
              <w:contextualSpacing w:val="0"/>
            </w:pPr>
            <w:r>
              <w:t>Still smallest burn rate for MSM. Did they have enough funds available? Last OC meeting: GAC has intensified monitoring of SR/SSR expenditures to avoid any liquidity challenges in the future</w:t>
            </w:r>
          </w:p>
        </w:tc>
        <w:tc>
          <w:tcPr>
            <w:tcW w:w="4490" w:type="dxa"/>
          </w:tcPr>
          <w:p w14:paraId="2962EB2D" w14:textId="4DAEAC94" w:rsidR="00184781" w:rsidRPr="001571F6" w:rsidRDefault="001F16B3" w:rsidP="0037277B">
            <w:pPr>
              <w:pStyle w:val="ListParagraph"/>
              <w:spacing w:before="120"/>
              <w:ind w:left="0"/>
              <w:contextualSpacing w:val="0"/>
              <w:jc w:val="both"/>
            </w:pPr>
            <w:r>
              <w:t>SRs had the funds they needed</w:t>
            </w:r>
            <w:r w:rsidR="0037277B">
              <w:t xml:space="preserve"> but disbursement only in February</w:t>
            </w:r>
            <w:r>
              <w:t xml:space="preserve">. </w:t>
            </w:r>
          </w:p>
        </w:tc>
      </w:tr>
    </w:tbl>
    <w:p w14:paraId="238487CE" w14:textId="18F151F4" w:rsidR="00F1000E" w:rsidRDefault="00F1000E" w:rsidP="000811C0">
      <w:pPr>
        <w:pStyle w:val="ListParagraph"/>
        <w:numPr>
          <w:ilvl w:val="0"/>
          <w:numId w:val="4"/>
        </w:numPr>
        <w:spacing w:before="360" w:after="120"/>
        <w:ind w:left="357" w:hanging="357"/>
        <w:contextualSpacing w:val="0"/>
        <w:jc w:val="both"/>
        <w:rPr>
          <w:b/>
        </w:rPr>
      </w:pPr>
      <w:r w:rsidRPr="007D6E1C">
        <w:rPr>
          <w:b/>
        </w:rPr>
        <w:t>Management Indicators:</w:t>
      </w:r>
      <w:r w:rsidR="00014CB3">
        <w:rPr>
          <w:b/>
        </w:rPr>
        <w:t xml:space="preserve"> </w:t>
      </w:r>
      <w:r w:rsidR="00CE13B7">
        <w:rPr>
          <w:b/>
        </w:rPr>
        <w:t>no comments</w:t>
      </w:r>
    </w:p>
    <w:p w14:paraId="32C990A2" w14:textId="77777777" w:rsidR="00F1000E" w:rsidRDefault="00F1000E" w:rsidP="000811C0">
      <w:pPr>
        <w:pStyle w:val="ListParagraph"/>
        <w:numPr>
          <w:ilvl w:val="0"/>
          <w:numId w:val="4"/>
        </w:numPr>
        <w:spacing w:before="360" w:after="120"/>
        <w:ind w:left="357" w:hanging="357"/>
        <w:contextualSpacing w:val="0"/>
        <w:jc w:val="both"/>
        <w:rPr>
          <w:b/>
        </w:rPr>
      </w:pPr>
      <w:r w:rsidRPr="007D6E1C">
        <w:rPr>
          <w:b/>
        </w:rPr>
        <w:t>Programmatic Indicators:</w:t>
      </w:r>
    </w:p>
    <w:p w14:paraId="5F0DAC1A" w14:textId="7A015AA7" w:rsidR="00A80909" w:rsidRPr="00313182" w:rsidRDefault="00A80909" w:rsidP="00A80909">
      <w:pPr>
        <w:spacing w:after="0" w:line="240" w:lineRule="auto"/>
        <w:ind w:left="357"/>
        <w:rPr>
          <w:rFonts w:ascii="Calibri" w:hAnsi="Calibri" w:cs="Calibri"/>
          <w:color w:val="000000" w:themeColor="text1"/>
        </w:rPr>
      </w:pPr>
      <w:r w:rsidRPr="00313182">
        <w:rPr>
          <w:rFonts w:ascii="Calibri" w:hAnsi="Calibri" w:cs="Calibri"/>
          <w:color w:val="000000" w:themeColor="text1"/>
        </w:rPr>
        <w:t xml:space="preserve">How is it possible with expenditures of less than 100% to reach a significant overachievement on almost of all the programmatic indicators? Is this expected to continue? If so, what is the plan for those savings? </w:t>
      </w:r>
      <w:r w:rsidR="001F16B3" w:rsidRPr="00313182">
        <w:rPr>
          <w:rFonts w:ascii="Calibri" w:hAnsi="Calibri" w:cs="Calibri"/>
          <w:color w:val="000000" w:themeColor="text1"/>
        </w:rPr>
        <w:t xml:space="preserve">– </w:t>
      </w:r>
      <w:r w:rsidR="00313182" w:rsidRPr="00313182">
        <w:rPr>
          <w:rFonts w:ascii="Calibri" w:hAnsi="Calibri" w:cs="Calibri"/>
          <w:color w:val="000000" w:themeColor="text1"/>
        </w:rPr>
        <w:t xml:space="preserve">GAC reply: </w:t>
      </w:r>
      <w:r w:rsidR="001F16B3" w:rsidRPr="00313182">
        <w:rPr>
          <w:rFonts w:ascii="Calibri" w:hAnsi="Calibri" w:cs="Calibri"/>
          <w:color w:val="000000" w:themeColor="text1"/>
        </w:rPr>
        <w:t>there will not be any further saving</w:t>
      </w:r>
    </w:p>
    <w:tbl>
      <w:tblPr>
        <w:tblStyle w:val="TableGrid"/>
        <w:tblW w:w="9277" w:type="dxa"/>
        <w:tblInd w:w="357" w:type="dxa"/>
        <w:tblLook w:val="04A0" w:firstRow="1" w:lastRow="0" w:firstColumn="1" w:lastColumn="0" w:noHBand="0" w:noVBand="1"/>
      </w:tblPr>
      <w:tblGrid>
        <w:gridCol w:w="1481"/>
        <w:gridCol w:w="2552"/>
        <w:gridCol w:w="5244"/>
      </w:tblGrid>
      <w:tr w:rsidR="00313182" w14:paraId="61C2F2F7" w14:textId="25067F6A" w:rsidTr="00CE13B7">
        <w:trPr>
          <w:cantSplit/>
          <w:tblHeader/>
        </w:trPr>
        <w:tc>
          <w:tcPr>
            <w:tcW w:w="1481" w:type="dxa"/>
          </w:tcPr>
          <w:p w14:paraId="79BE635A" w14:textId="77777777" w:rsidR="00313182" w:rsidRDefault="00313182" w:rsidP="006F645C">
            <w:pPr>
              <w:pStyle w:val="ListParagraph"/>
              <w:spacing w:before="120"/>
              <w:ind w:left="0"/>
              <w:contextualSpacing w:val="0"/>
              <w:jc w:val="both"/>
              <w:rPr>
                <w:b/>
              </w:rPr>
            </w:pPr>
            <w:r>
              <w:rPr>
                <w:b/>
              </w:rPr>
              <w:t>Indicator</w:t>
            </w:r>
          </w:p>
        </w:tc>
        <w:tc>
          <w:tcPr>
            <w:tcW w:w="2552" w:type="dxa"/>
          </w:tcPr>
          <w:p w14:paraId="17F65EFF" w14:textId="77777777" w:rsidR="00313182" w:rsidRDefault="00313182" w:rsidP="006F645C">
            <w:pPr>
              <w:pStyle w:val="ListParagraph"/>
              <w:spacing w:before="120"/>
              <w:ind w:left="0"/>
              <w:contextualSpacing w:val="0"/>
              <w:jc w:val="both"/>
              <w:rPr>
                <w:b/>
              </w:rPr>
            </w:pPr>
            <w:r>
              <w:rPr>
                <w:b/>
              </w:rPr>
              <w:t xml:space="preserve">Observation  </w:t>
            </w:r>
          </w:p>
        </w:tc>
        <w:tc>
          <w:tcPr>
            <w:tcW w:w="5244" w:type="dxa"/>
          </w:tcPr>
          <w:p w14:paraId="61A7144F" w14:textId="77777777" w:rsidR="00313182" w:rsidRDefault="00313182" w:rsidP="006F645C">
            <w:pPr>
              <w:pStyle w:val="ListParagraph"/>
              <w:spacing w:before="120"/>
              <w:ind w:left="0"/>
              <w:contextualSpacing w:val="0"/>
              <w:jc w:val="both"/>
              <w:rPr>
                <w:b/>
              </w:rPr>
            </w:pPr>
            <w:r>
              <w:rPr>
                <w:b/>
              </w:rPr>
              <w:t xml:space="preserve">Answer / Decision </w:t>
            </w:r>
          </w:p>
        </w:tc>
      </w:tr>
      <w:tr w:rsidR="00313182" w14:paraId="1BEFCE9E" w14:textId="551044DE" w:rsidTr="00313182">
        <w:trPr>
          <w:trHeight w:val="558"/>
        </w:trPr>
        <w:tc>
          <w:tcPr>
            <w:tcW w:w="1481" w:type="dxa"/>
          </w:tcPr>
          <w:p w14:paraId="0EEFC686" w14:textId="77777777" w:rsidR="00313182" w:rsidRDefault="00313182" w:rsidP="006F645C">
            <w:pPr>
              <w:pStyle w:val="ListParagraph"/>
              <w:spacing w:before="120"/>
              <w:ind w:left="0"/>
              <w:contextualSpacing w:val="0"/>
              <w:rPr>
                <w:b/>
              </w:rPr>
            </w:pPr>
            <w:r>
              <w:rPr>
                <w:b/>
              </w:rPr>
              <w:t>FSW HIV prevention</w:t>
            </w:r>
          </w:p>
        </w:tc>
        <w:tc>
          <w:tcPr>
            <w:tcW w:w="2552" w:type="dxa"/>
          </w:tcPr>
          <w:p w14:paraId="1F9FBF86" w14:textId="494AE3CD" w:rsidR="00313182" w:rsidRPr="001571F6" w:rsidRDefault="00313182" w:rsidP="006F645C">
            <w:pPr>
              <w:pStyle w:val="ListParagraph"/>
              <w:spacing w:before="120"/>
              <w:ind w:left="34"/>
            </w:pPr>
            <w:r>
              <w:t>&gt;300% after three quarters with 59%, 73%, 28%. Why is performance so inconsistent?</w:t>
            </w:r>
          </w:p>
        </w:tc>
        <w:tc>
          <w:tcPr>
            <w:tcW w:w="5244" w:type="dxa"/>
          </w:tcPr>
          <w:p w14:paraId="4E833E09" w14:textId="0B638A92" w:rsidR="00313182" w:rsidRPr="001571F6" w:rsidRDefault="00313182" w:rsidP="0017690E">
            <w:pPr>
              <w:pStyle w:val="ListParagraph"/>
              <w:spacing w:before="120"/>
              <w:ind w:left="0"/>
              <w:contextualSpacing w:val="0"/>
            </w:pPr>
            <w:r>
              <w:t xml:space="preserve">First Q per </w:t>
            </w:r>
            <w:r w:rsidR="0017690E">
              <w:t>yea</w:t>
            </w:r>
            <w:r>
              <w:t xml:space="preserve">r: Existing contacts become </w:t>
            </w:r>
            <w:r w:rsidR="0017690E">
              <w:t>“</w:t>
            </w:r>
            <w:r>
              <w:t>New contacts</w:t>
            </w:r>
            <w:r w:rsidR="0017690E">
              <w:t>” again</w:t>
            </w:r>
            <w:r>
              <w:t xml:space="preserve"> – easy to identify and enroll. </w:t>
            </w:r>
            <w:r w:rsidR="0017690E">
              <w:t xml:space="preserve">Other </w:t>
            </w:r>
            <w:r>
              <w:t>Q</w:t>
            </w:r>
            <w:r w:rsidR="0017690E">
              <w:t>s</w:t>
            </w:r>
            <w:r>
              <w:t xml:space="preserve">: try to get </w:t>
            </w:r>
            <w:r w:rsidR="002D74BE">
              <w:t xml:space="preserve">remaining and </w:t>
            </w:r>
            <w:r>
              <w:t>additional contacts – harder to find</w:t>
            </w:r>
          </w:p>
        </w:tc>
      </w:tr>
      <w:tr w:rsidR="00313182" w14:paraId="52DF6F02" w14:textId="7EB3D11C" w:rsidTr="00313182">
        <w:tc>
          <w:tcPr>
            <w:tcW w:w="1481" w:type="dxa"/>
          </w:tcPr>
          <w:p w14:paraId="5DE7E613" w14:textId="77777777" w:rsidR="00313182" w:rsidRDefault="00313182" w:rsidP="006F645C">
            <w:pPr>
              <w:pStyle w:val="ListParagraph"/>
              <w:spacing w:before="120"/>
              <w:ind w:left="0"/>
              <w:contextualSpacing w:val="0"/>
              <w:rPr>
                <w:b/>
              </w:rPr>
            </w:pPr>
            <w:r>
              <w:rPr>
                <w:b/>
              </w:rPr>
              <w:t xml:space="preserve">MSM HIV prevention </w:t>
            </w:r>
          </w:p>
        </w:tc>
        <w:tc>
          <w:tcPr>
            <w:tcW w:w="2552" w:type="dxa"/>
          </w:tcPr>
          <w:p w14:paraId="24724850" w14:textId="3F9447E7" w:rsidR="00313182" w:rsidRPr="008C348B" w:rsidRDefault="00313182" w:rsidP="008C348B">
            <w:pPr>
              <w:rPr>
                <w:rFonts w:ascii="Calibri" w:hAnsi="Calibri" w:cs="Calibri"/>
                <w:color w:val="000000" w:themeColor="text1"/>
              </w:rPr>
            </w:pPr>
            <w:r w:rsidRPr="008C348B">
              <w:rPr>
                <w:rFonts w:ascii="Calibri" w:hAnsi="Calibri" w:cs="Calibri"/>
                <w:color w:val="000000" w:themeColor="text1"/>
              </w:rPr>
              <w:t xml:space="preserve">Almost 6000 MSM reached </w:t>
            </w:r>
            <w:r>
              <w:rPr>
                <w:rFonts w:ascii="Calibri" w:hAnsi="Calibri" w:cs="Calibri"/>
                <w:color w:val="000000" w:themeColor="text1"/>
              </w:rPr>
              <w:t>=</w:t>
            </w:r>
            <w:r w:rsidRPr="008C348B">
              <w:rPr>
                <w:rFonts w:ascii="Calibri" w:hAnsi="Calibri" w:cs="Calibri"/>
                <w:color w:val="000000" w:themeColor="text1"/>
              </w:rPr>
              <w:t xml:space="preserve"> way more than the total of the past three quarters. What was done differently? </w:t>
            </w:r>
          </w:p>
        </w:tc>
        <w:tc>
          <w:tcPr>
            <w:tcW w:w="5244" w:type="dxa"/>
          </w:tcPr>
          <w:p w14:paraId="4F4CDDA2" w14:textId="77555893" w:rsidR="00313182" w:rsidRPr="001571F6" w:rsidRDefault="0047774B" w:rsidP="006F645C">
            <w:pPr>
              <w:pStyle w:val="ListParagraph"/>
              <w:spacing w:before="120"/>
              <w:ind w:left="0"/>
              <w:contextualSpacing w:val="0"/>
            </w:pPr>
            <w:r>
              <w:t>First quarter of the year. Existing contacts were re-enrolled</w:t>
            </w:r>
            <w:r w:rsidR="002B2458">
              <w:t xml:space="preserve"> (see above)</w:t>
            </w:r>
            <w:r>
              <w:t xml:space="preserve">. </w:t>
            </w:r>
            <w:r w:rsidR="00313182">
              <w:t>More outreach to sites that have no PE. Will continue in future</w:t>
            </w:r>
            <w:r w:rsidR="006D1D2B">
              <w:t xml:space="preserve">. </w:t>
            </w:r>
          </w:p>
        </w:tc>
      </w:tr>
      <w:tr w:rsidR="00313182" w14:paraId="54E2C7E1" w14:textId="25E9DE2A" w:rsidTr="00313182">
        <w:tc>
          <w:tcPr>
            <w:tcW w:w="1481" w:type="dxa"/>
          </w:tcPr>
          <w:p w14:paraId="6A9D71F9" w14:textId="1B1AD96F" w:rsidR="00313182" w:rsidRDefault="00313182" w:rsidP="00B32CEF">
            <w:pPr>
              <w:pStyle w:val="ListParagraph"/>
              <w:spacing w:before="120"/>
              <w:ind w:left="0"/>
              <w:contextualSpacing w:val="0"/>
              <w:rPr>
                <w:rFonts w:ascii="Arial" w:hAnsi="Arial" w:cs="Arial"/>
                <w:b/>
                <w:sz w:val="20"/>
                <w:szCs w:val="20"/>
              </w:rPr>
            </w:pPr>
            <w:r>
              <w:rPr>
                <w:rFonts w:ascii="Arial" w:hAnsi="Arial" w:cs="Arial"/>
                <w:b/>
                <w:sz w:val="20"/>
                <w:szCs w:val="20"/>
              </w:rPr>
              <w:t>MSM HTS</w:t>
            </w:r>
          </w:p>
        </w:tc>
        <w:tc>
          <w:tcPr>
            <w:tcW w:w="2552" w:type="dxa"/>
          </w:tcPr>
          <w:p w14:paraId="352A40AA" w14:textId="637ACDB7" w:rsidR="00313182" w:rsidRPr="008C348B" w:rsidRDefault="00313182" w:rsidP="008C348B">
            <w:pPr>
              <w:rPr>
                <w:rFonts w:ascii="Calibri" w:hAnsi="Calibri" w:cs="Calibri"/>
                <w:color w:val="000000" w:themeColor="text1"/>
              </w:rPr>
            </w:pPr>
            <w:r w:rsidRPr="008C348B">
              <w:rPr>
                <w:rFonts w:ascii="Calibri" w:hAnsi="Calibri" w:cs="Calibri"/>
                <w:color w:val="000000" w:themeColor="text1"/>
              </w:rPr>
              <w:t xml:space="preserve">If almost 6000 MSM = 200% of the target could be reached with prevention packages, why was it not possible to test more than the 1425 MSM (=80%)?   </w:t>
            </w:r>
          </w:p>
        </w:tc>
        <w:tc>
          <w:tcPr>
            <w:tcW w:w="5244" w:type="dxa"/>
          </w:tcPr>
          <w:p w14:paraId="30FF801E" w14:textId="2033EBC0" w:rsidR="00313182" w:rsidRDefault="00313182" w:rsidP="006D1D2B">
            <w:pPr>
              <w:pStyle w:val="ListParagraph"/>
              <w:spacing w:before="120"/>
              <w:ind w:left="0"/>
              <w:contextualSpacing w:val="0"/>
            </w:pPr>
            <w:r>
              <w:t xml:space="preserve">Some activities, e.g. love and trust (combined with HTS), discontinued. </w:t>
            </w:r>
            <w:r w:rsidR="002B2458">
              <w:t xml:space="preserve">Not every contact accepts to be tested on a regular basis. </w:t>
            </w:r>
            <w:r w:rsidR="006D1D2B">
              <w:t>Number of test kits was sufficient</w:t>
            </w:r>
            <w:r>
              <w:t>.</w:t>
            </w:r>
            <w:r w:rsidR="006D1D2B">
              <w:t xml:space="preserve"> </w:t>
            </w:r>
            <w:r>
              <w:t xml:space="preserve"> </w:t>
            </w:r>
          </w:p>
        </w:tc>
      </w:tr>
      <w:tr w:rsidR="00313182" w14:paraId="297B8A67" w14:textId="5353E5F1" w:rsidTr="00313182">
        <w:tc>
          <w:tcPr>
            <w:tcW w:w="1481" w:type="dxa"/>
          </w:tcPr>
          <w:p w14:paraId="60B293CA" w14:textId="77777777" w:rsidR="00313182" w:rsidRPr="00511756" w:rsidRDefault="00313182" w:rsidP="00B32CEF">
            <w:pPr>
              <w:pStyle w:val="ListParagraph"/>
              <w:spacing w:before="120"/>
              <w:ind w:left="0"/>
              <w:contextualSpacing w:val="0"/>
              <w:rPr>
                <w:rFonts w:ascii="Arial" w:hAnsi="Arial" w:cs="Arial"/>
                <w:b/>
                <w:sz w:val="20"/>
                <w:szCs w:val="20"/>
              </w:rPr>
            </w:pPr>
            <w:r>
              <w:rPr>
                <w:rFonts w:ascii="Arial" w:hAnsi="Arial" w:cs="Arial"/>
                <w:b/>
                <w:sz w:val="20"/>
                <w:szCs w:val="20"/>
              </w:rPr>
              <w:t>MoH</w:t>
            </w:r>
          </w:p>
        </w:tc>
        <w:tc>
          <w:tcPr>
            <w:tcW w:w="2552" w:type="dxa"/>
          </w:tcPr>
          <w:p w14:paraId="3DDC9416" w14:textId="35F15D64" w:rsidR="00313182" w:rsidRPr="001571F6" w:rsidRDefault="00313182" w:rsidP="006F645C">
            <w:pPr>
              <w:pStyle w:val="ListParagraph"/>
              <w:spacing w:before="120"/>
              <w:ind w:left="0"/>
              <w:contextualSpacing w:val="0"/>
            </w:pPr>
            <w:r>
              <w:t>Increase of allowance with reprogramming request?</w:t>
            </w:r>
          </w:p>
        </w:tc>
        <w:tc>
          <w:tcPr>
            <w:tcW w:w="5244" w:type="dxa"/>
          </w:tcPr>
          <w:p w14:paraId="5229D274" w14:textId="08848846" w:rsidR="00313182" w:rsidRPr="001571F6" w:rsidRDefault="00313182" w:rsidP="0017690E">
            <w:pPr>
              <w:pStyle w:val="ListParagraph"/>
              <w:spacing w:before="120"/>
              <w:ind w:left="0"/>
              <w:contextualSpacing w:val="0"/>
            </w:pPr>
            <w:r>
              <w:t>Yes, approved, receive</w:t>
            </w:r>
            <w:r w:rsidR="0017690E">
              <w:t xml:space="preserve"> 250 GHC since April </w:t>
            </w:r>
          </w:p>
        </w:tc>
      </w:tr>
      <w:tr w:rsidR="00313182" w14:paraId="65716B96" w14:textId="4814245B" w:rsidTr="00313182">
        <w:tc>
          <w:tcPr>
            <w:tcW w:w="1481" w:type="dxa"/>
          </w:tcPr>
          <w:p w14:paraId="1DDA277C" w14:textId="77777777" w:rsidR="00313182" w:rsidRDefault="00313182" w:rsidP="00184781">
            <w:pPr>
              <w:pStyle w:val="ListParagraph"/>
              <w:spacing w:before="120"/>
              <w:ind w:left="0"/>
              <w:contextualSpacing w:val="0"/>
              <w:rPr>
                <w:b/>
              </w:rPr>
            </w:pPr>
            <w:r w:rsidRPr="00511756">
              <w:rPr>
                <w:rFonts w:ascii="Arial" w:hAnsi="Arial" w:cs="Arial"/>
                <w:b/>
                <w:sz w:val="20"/>
                <w:szCs w:val="20"/>
              </w:rPr>
              <w:t>MSM on NHIS</w:t>
            </w:r>
          </w:p>
        </w:tc>
        <w:tc>
          <w:tcPr>
            <w:tcW w:w="2552" w:type="dxa"/>
          </w:tcPr>
          <w:p w14:paraId="552975EB" w14:textId="635E3EC9" w:rsidR="00313182" w:rsidRPr="008C348B" w:rsidRDefault="00313182" w:rsidP="008C348B">
            <w:pPr>
              <w:rPr>
                <w:rFonts w:ascii="Calibri" w:hAnsi="Calibri" w:cs="Calibri"/>
                <w:color w:val="000000" w:themeColor="text1"/>
              </w:rPr>
            </w:pPr>
            <w:r>
              <w:rPr>
                <w:rFonts w:ascii="Calibri" w:hAnsi="Calibri" w:cs="Calibri"/>
                <w:color w:val="000000" w:themeColor="text1"/>
              </w:rPr>
              <w:t xml:space="preserve">Targets (221) are very low. </w:t>
            </w:r>
            <w:r w:rsidRPr="008C348B">
              <w:rPr>
                <w:rFonts w:ascii="Calibri" w:hAnsi="Calibri" w:cs="Calibri"/>
                <w:color w:val="000000" w:themeColor="text1"/>
              </w:rPr>
              <w:t>What explains that we don’t have a similar success for MSM</w:t>
            </w:r>
            <w:r>
              <w:rPr>
                <w:rFonts w:ascii="Calibri" w:hAnsi="Calibri" w:cs="Calibri"/>
                <w:color w:val="000000" w:themeColor="text1"/>
              </w:rPr>
              <w:t xml:space="preserve"> as for PLHIV and even FSW</w:t>
            </w:r>
            <w:r w:rsidRPr="008C348B">
              <w:rPr>
                <w:rFonts w:ascii="Calibri" w:hAnsi="Calibri" w:cs="Calibri"/>
                <w:color w:val="000000" w:themeColor="text1"/>
              </w:rPr>
              <w:t xml:space="preserve">? </w:t>
            </w:r>
          </w:p>
        </w:tc>
        <w:tc>
          <w:tcPr>
            <w:tcW w:w="5244" w:type="dxa"/>
          </w:tcPr>
          <w:p w14:paraId="329DA937" w14:textId="5CFE5E09" w:rsidR="00313182" w:rsidRPr="001571F6" w:rsidRDefault="0047774B" w:rsidP="0047774B">
            <w:pPr>
              <w:pStyle w:val="ListParagraph"/>
              <w:spacing w:before="120"/>
              <w:ind w:left="0"/>
              <w:contextualSpacing w:val="0"/>
            </w:pPr>
            <w:r>
              <w:t>D</w:t>
            </w:r>
            <w:r w:rsidR="00313182">
              <w:t xml:space="preserve">ependents </w:t>
            </w:r>
            <w:r>
              <w:t xml:space="preserve">of beneficiaries </w:t>
            </w:r>
            <w:r w:rsidR="00313182">
              <w:t>are also registered. MSM tend to have less dependents</w:t>
            </w:r>
            <w:r w:rsidR="0022135F">
              <w:t xml:space="preserve"> than PLHIV</w:t>
            </w:r>
            <w:r w:rsidR="00313182">
              <w:t>.</w:t>
            </w:r>
          </w:p>
        </w:tc>
      </w:tr>
      <w:tr w:rsidR="00313182" w14:paraId="59F2356C" w14:textId="3729FBBE" w:rsidTr="00313182">
        <w:tc>
          <w:tcPr>
            <w:tcW w:w="1481" w:type="dxa"/>
          </w:tcPr>
          <w:p w14:paraId="4B3933B5" w14:textId="77777777" w:rsidR="00313182" w:rsidRDefault="00313182" w:rsidP="00184781">
            <w:pPr>
              <w:pStyle w:val="ListParagraph"/>
              <w:spacing w:before="120"/>
              <w:ind w:left="0"/>
              <w:contextualSpacing w:val="0"/>
              <w:rPr>
                <w:b/>
              </w:rPr>
            </w:pPr>
            <w:r>
              <w:rPr>
                <w:rFonts w:ascii="Arial" w:hAnsi="Arial" w:cs="Arial"/>
                <w:b/>
                <w:sz w:val="20"/>
                <w:szCs w:val="20"/>
              </w:rPr>
              <w:lastRenderedPageBreak/>
              <w:t xml:space="preserve">Clients enrolled in </w:t>
            </w:r>
            <w:proofErr w:type="spellStart"/>
            <w:r>
              <w:rPr>
                <w:rFonts w:ascii="Arial" w:hAnsi="Arial" w:cs="Arial"/>
                <w:b/>
                <w:sz w:val="20"/>
                <w:szCs w:val="20"/>
              </w:rPr>
              <w:t>programme</w:t>
            </w:r>
            <w:proofErr w:type="spellEnd"/>
          </w:p>
        </w:tc>
        <w:tc>
          <w:tcPr>
            <w:tcW w:w="2552" w:type="dxa"/>
          </w:tcPr>
          <w:p w14:paraId="6C8174E7" w14:textId="566CB938" w:rsidR="00313182" w:rsidRPr="001571F6" w:rsidRDefault="00313182" w:rsidP="00184781">
            <w:pPr>
              <w:pStyle w:val="ListParagraph"/>
              <w:spacing w:before="120"/>
              <w:ind w:left="0"/>
              <w:contextualSpacing w:val="0"/>
            </w:pPr>
            <w:r>
              <w:t>Definition of indicator?</w:t>
            </w:r>
          </w:p>
        </w:tc>
        <w:tc>
          <w:tcPr>
            <w:tcW w:w="5244" w:type="dxa"/>
          </w:tcPr>
          <w:p w14:paraId="3D6EAD11" w14:textId="715B030F" w:rsidR="00313182" w:rsidRPr="001571F6" w:rsidRDefault="00313182" w:rsidP="00184781">
            <w:pPr>
              <w:pStyle w:val="ListParagraph"/>
              <w:spacing w:before="120"/>
              <w:ind w:left="0"/>
              <w:contextualSpacing w:val="0"/>
            </w:pPr>
            <w:r>
              <w:t>= newly registered on program</w:t>
            </w:r>
          </w:p>
        </w:tc>
      </w:tr>
      <w:tr w:rsidR="00313182" w14:paraId="7888ADBB" w14:textId="2BBC2E53" w:rsidTr="00313182">
        <w:tc>
          <w:tcPr>
            <w:tcW w:w="1481" w:type="dxa"/>
          </w:tcPr>
          <w:p w14:paraId="3BF85EAE" w14:textId="77777777" w:rsidR="00313182" w:rsidRDefault="00313182" w:rsidP="00184781">
            <w:pPr>
              <w:pStyle w:val="ListParagraph"/>
              <w:spacing w:before="120"/>
              <w:ind w:left="0"/>
              <w:contextualSpacing w:val="0"/>
              <w:jc w:val="both"/>
              <w:rPr>
                <w:b/>
              </w:rPr>
            </w:pPr>
            <w:r>
              <w:rPr>
                <w:rFonts w:ascii="Arial" w:hAnsi="Arial" w:cs="Arial"/>
                <w:b/>
                <w:sz w:val="20"/>
                <w:szCs w:val="20"/>
              </w:rPr>
              <w:t>HBC PLHIV</w:t>
            </w:r>
          </w:p>
        </w:tc>
        <w:tc>
          <w:tcPr>
            <w:tcW w:w="2552" w:type="dxa"/>
          </w:tcPr>
          <w:p w14:paraId="6A804890" w14:textId="4EFECE60" w:rsidR="00313182" w:rsidRPr="00F347C8" w:rsidRDefault="00313182" w:rsidP="00F347C8">
            <w:pPr>
              <w:rPr>
                <w:rFonts w:ascii="Calibri" w:hAnsi="Calibri" w:cs="Calibri"/>
                <w:color w:val="000000" w:themeColor="text1"/>
              </w:rPr>
            </w:pPr>
            <w:r w:rsidRPr="00F347C8">
              <w:rPr>
                <w:rFonts w:ascii="Calibri" w:hAnsi="Calibri" w:cs="Calibri"/>
                <w:color w:val="000000" w:themeColor="text1"/>
              </w:rPr>
              <w:t xml:space="preserve">Definition of indicator? </w:t>
            </w:r>
          </w:p>
          <w:p w14:paraId="42550902" w14:textId="77777777" w:rsidR="00313182" w:rsidRPr="006965DE" w:rsidRDefault="00313182" w:rsidP="00184781">
            <w:pPr>
              <w:pStyle w:val="ListParagraph"/>
              <w:spacing w:before="120"/>
              <w:ind w:left="0"/>
              <w:contextualSpacing w:val="0"/>
              <w:jc w:val="both"/>
            </w:pPr>
          </w:p>
        </w:tc>
        <w:tc>
          <w:tcPr>
            <w:tcW w:w="5244" w:type="dxa"/>
          </w:tcPr>
          <w:p w14:paraId="53477CB9" w14:textId="34357EFC" w:rsidR="00313182" w:rsidRPr="003F712E" w:rsidRDefault="0022135F" w:rsidP="00184781">
            <w:pPr>
              <w:pStyle w:val="ListParagraph"/>
              <w:spacing w:before="120"/>
              <w:ind w:left="0"/>
              <w:contextualSpacing w:val="0"/>
              <w:jc w:val="both"/>
            </w:pPr>
            <w:r>
              <w:t>= r</w:t>
            </w:r>
            <w:r w:rsidR="00313182">
              <w:t>eceiving services</w:t>
            </w:r>
          </w:p>
        </w:tc>
      </w:tr>
      <w:tr w:rsidR="00313182" w14:paraId="3D75EC54" w14:textId="4939989A" w:rsidTr="00313182">
        <w:tc>
          <w:tcPr>
            <w:tcW w:w="1481" w:type="dxa"/>
          </w:tcPr>
          <w:p w14:paraId="48099821" w14:textId="1724CF4B" w:rsidR="00313182" w:rsidRDefault="002B2458" w:rsidP="00184781">
            <w:pPr>
              <w:pStyle w:val="ListParagraph"/>
              <w:spacing w:before="120"/>
              <w:ind w:left="0"/>
              <w:contextualSpacing w:val="0"/>
              <w:rPr>
                <w:rFonts w:ascii="Arial" w:hAnsi="Arial" w:cs="Arial"/>
                <w:b/>
                <w:sz w:val="20"/>
                <w:szCs w:val="20"/>
              </w:rPr>
            </w:pPr>
            <w:r>
              <w:rPr>
                <w:rFonts w:ascii="Arial" w:hAnsi="Arial" w:cs="Arial"/>
                <w:b/>
                <w:sz w:val="20"/>
                <w:szCs w:val="20"/>
              </w:rPr>
              <w:t>PLHIV on NHI</w:t>
            </w:r>
            <w:r w:rsidR="00313182">
              <w:rPr>
                <w:rFonts w:ascii="Arial" w:hAnsi="Arial" w:cs="Arial"/>
                <w:b/>
                <w:sz w:val="20"/>
                <w:szCs w:val="20"/>
              </w:rPr>
              <w:t>S</w:t>
            </w:r>
          </w:p>
        </w:tc>
        <w:tc>
          <w:tcPr>
            <w:tcW w:w="2552" w:type="dxa"/>
          </w:tcPr>
          <w:p w14:paraId="331E08D9" w14:textId="05D0E619" w:rsidR="00313182" w:rsidRPr="008C348B" w:rsidRDefault="00313182" w:rsidP="008C348B">
            <w:pPr>
              <w:rPr>
                <w:rFonts w:ascii="Calibri" w:hAnsi="Calibri" w:cs="Calibri"/>
                <w:color w:val="1F497D"/>
              </w:rPr>
            </w:pPr>
            <w:r w:rsidRPr="008C348B">
              <w:rPr>
                <w:rFonts w:ascii="Calibri" w:hAnsi="Calibri" w:cs="Calibri"/>
                <w:color w:val="000000" w:themeColor="text1"/>
              </w:rPr>
              <w:t>Reached &gt;1000%, cum 458%. Cum budget probably exceeded &gt;300,000 GHC</w:t>
            </w:r>
          </w:p>
        </w:tc>
        <w:tc>
          <w:tcPr>
            <w:tcW w:w="5244" w:type="dxa"/>
          </w:tcPr>
          <w:p w14:paraId="7CD2C8FF" w14:textId="712D8A78" w:rsidR="00313182" w:rsidRPr="001571F6" w:rsidRDefault="00313182" w:rsidP="008C348B"/>
        </w:tc>
      </w:tr>
    </w:tbl>
    <w:p w14:paraId="70DE5302" w14:textId="68A9E221" w:rsidR="007C3609" w:rsidRPr="00441E2E" w:rsidRDefault="007C3609" w:rsidP="002B2458">
      <w:pPr>
        <w:pStyle w:val="ListParagraph"/>
        <w:numPr>
          <w:ilvl w:val="0"/>
          <w:numId w:val="4"/>
        </w:numPr>
        <w:spacing w:after="120"/>
        <w:contextualSpacing w:val="0"/>
        <w:jc w:val="both"/>
      </w:pPr>
      <w:r w:rsidRPr="007C3609">
        <w:rPr>
          <w:b/>
        </w:rPr>
        <w:t xml:space="preserve">Challenges expected during the next six months: </w:t>
      </w:r>
      <w:r w:rsidR="002B2458">
        <w:t>Implementation of r</w:t>
      </w:r>
      <w:r w:rsidR="00441E2E">
        <w:t xml:space="preserve">eprogramming activities require GHS and NACP input </w:t>
      </w:r>
      <w:r w:rsidR="002B2458">
        <w:t xml:space="preserve">(e.g. dissemination of task sharing policy) </w:t>
      </w:r>
      <w:r w:rsidR="00441E2E">
        <w:t>– need to happen timely.</w:t>
      </w:r>
    </w:p>
    <w:p w14:paraId="664DA9C3" w14:textId="2D825472" w:rsidR="00062568" w:rsidRPr="00441E2E" w:rsidRDefault="00F1000E" w:rsidP="00441E2E">
      <w:pPr>
        <w:pStyle w:val="ListParagraph"/>
        <w:numPr>
          <w:ilvl w:val="0"/>
          <w:numId w:val="4"/>
        </w:numPr>
        <w:spacing w:before="360" w:after="120"/>
        <w:ind w:left="357" w:hanging="357"/>
        <w:contextualSpacing w:val="0"/>
        <w:jc w:val="both"/>
        <w:rPr>
          <w:b/>
        </w:rPr>
      </w:pPr>
      <w:r>
        <w:rPr>
          <w:b/>
        </w:rPr>
        <w:t>Recommendations:</w:t>
      </w:r>
      <w:r w:rsidR="00441E2E">
        <w:rPr>
          <w:b/>
        </w:rPr>
        <w:t xml:space="preserve"> </w:t>
      </w:r>
      <w:r w:rsidR="0017690E">
        <w:t xml:space="preserve">Since the GF has not received a costed lubricant quantification, GAC is request to take the lead and develop a lubricant request by E/June incorporating the needs of GAC SRs, ADRA and NACP. </w:t>
      </w:r>
    </w:p>
    <w:p w14:paraId="1EB65C57" w14:textId="77777777" w:rsidR="00F957F5" w:rsidRPr="007D3EA9" w:rsidRDefault="00167B82" w:rsidP="000811C0">
      <w:pPr>
        <w:pStyle w:val="ListParagraph"/>
        <w:numPr>
          <w:ilvl w:val="0"/>
          <w:numId w:val="1"/>
        </w:numPr>
        <w:spacing w:before="360"/>
        <w:contextualSpacing w:val="0"/>
        <w:jc w:val="both"/>
        <w:rPr>
          <w:b/>
          <w:color w:val="C00000"/>
          <w:sz w:val="24"/>
          <w:szCs w:val="24"/>
        </w:rPr>
      </w:pPr>
      <w:r w:rsidRPr="007D3EA9">
        <w:rPr>
          <w:b/>
          <w:color w:val="C00000"/>
          <w:sz w:val="24"/>
          <w:szCs w:val="24"/>
        </w:rPr>
        <w:t>NACP</w:t>
      </w:r>
      <w:r w:rsidR="00F957F5" w:rsidRPr="007D3EA9">
        <w:rPr>
          <w:b/>
          <w:color w:val="C00000"/>
          <w:sz w:val="24"/>
          <w:szCs w:val="24"/>
        </w:rPr>
        <w:t xml:space="preserve"> Dash Board:</w:t>
      </w:r>
    </w:p>
    <w:p w14:paraId="55013B96" w14:textId="77777777" w:rsidR="008350BF" w:rsidRDefault="008350BF" w:rsidP="000811C0">
      <w:pPr>
        <w:pStyle w:val="ListParagraph"/>
        <w:numPr>
          <w:ilvl w:val="0"/>
          <w:numId w:val="2"/>
        </w:numPr>
        <w:spacing w:before="240" w:after="120"/>
        <w:ind w:left="357" w:hanging="357"/>
        <w:contextualSpacing w:val="0"/>
        <w:jc w:val="both"/>
        <w:rPr>
          <w:b/>
        </w:rPr>
      </w:pPr>
      <w:r>
        <w:rPr>
          <w:b/>
        </w:rPr>
        <w:t>Follow up:</w:t>
      </w:r>
    </w:p>
    <w:p w14:paraId="2B57DC5C" w14:textId="66050DE2" w:rsidR="00E339B3" w:rsidRPr="00C40166" w:rsidRDefault="0049247F" w:rsidP="000811C0">
      <w:pPr>
        <w:pStyle w:val="ListParagraph"/>
        <w:numPr>
          <w:ilvl w:val="0"/>
          <w:numId w:val="12"/>
        </w:numPr>
        <w:spacing w:after="0"/>
        <w:contextualSpacing w:val="0"/>
        <w:jc w:val="both"/>
      </w:pPr>
      <w:r>
        <w:rPr>
          <w:b/>
        </w:rPr>
        <w:t>Experiences with</w:t>
      </w:r>
      <w:r w:rsidR="00E339B3" w:rsidRPr="003C71D8">
        <w:rPr>
          <w:b/>
        </w:rPr>
        <w:t xml:space="preserve"> Test&amp;Treat? </w:t>
      </w:r>
      <w:r w:rsidR="00C40166" w:rsidRPr="00C40166">
        <w:t>Good start</w:t>
      </w:r>
      <w:r w:rsidR="00C40166">
        <w:t xml:space="preserve"> in 4 regions</w:t>
      </w:r>
      <w:r w:rsidR="00C40166" w:rsidRPr="00C40166">
        <w:t>. In order to full go, policy on task shifting needs to be fully operational</w:t>
      </w:r>
      <w:r w:rsidR="0017690E">
        <w:t>, which is n</w:t>
      </w:r>
      <w:r w:rsidR="00C40166">
        <w:t xml:space="preserve">ot yet disseminated. </w:t>
      </w:r>
      <w:r w:rsidR="00271D8B">
        <w:t>People still pay for tests = barrier to treatment. NACP feels that lab t</w:t>
      </w:r>
      <w:r w:rsidR="005C4757">
        <w:t xml:space="preserve">ests may have to be payable in the future since no donor takes </w:t>
      </w:r>
      <w:r w:rsidR="00271D8B">
        <w:t>them</w:t>
      </w:r>
      <w:r w:rsidR="005C4757">
        <w:t xml:space="preserve"> up. </w:t>
      </w:r>
      <w:r w:rsidR="008D162D">
        <w:t>4 regions enrollment data: Q1/2016: 3325, Q2/2016: 3256 Q3: 2772, Q4 = start of T&amp;T: 3882</w:t>
      </w:r>
    </w:p>
    <w:p w14:paraId="64AD7A5B" w14:textId="5EC73ABA" w:rsidR="002548A6" w:rsidRPr="005C4757" w:rsidRDefault="000933B8" w:rsidP="000811C0">
      <w:pPr>
        <w:pStyle w:val="ListParagraph"/>
        <w:numPr>
          <w:ilvl w:val="0"/>
          <w:numId w:val="12"/>
        </w:numPr>
        <w:spacing w:after="0"/>
        <w:contextualSpacing w:val="0"/>
        <w:jc w:val="both"/>
        <w:rPr>
          <w:b/>
        </w:rPr>
      </w:pPr>
      <w:r>
        <w:rPr>
          <w:b/>
        </w:rPr>
        <w:t xml:space="preserve">Planned solution for blood sample transport, any follow up with NHIA? </w:t>
      </w:r>
      <w:r w:rsidR="005C4757" w:rsidRPr="005C4757">
        <w:t>VL scale up plan draft ready</w:t>
      </w:r>
      <w:r w:rsidR="00271D8B">
        <w:t>.</w:t>
      </w:r>
      <w:r w:rsidR="005C4757" w:rsidRPr="005C4757">
        <w:t xml:space="preserve"> </w:t>
      </w:r>
      <w:r w:rsidR="00271D8B">
        <w:t xml:space="preserve">Stakeholder </w:t>
      </w:r>
      <w:r w:rsidR="005C4757" w:rsidRPr="005C4757">
        <w:t>meeting 28</w:t>
      </w:r>
      <w:r w:rsidR="005C4757" w:rsidRPr="005C4757">
        <w:rPr>
          <w:vertAlign w:val="superscript"/>
        </w:rPr>
        <w:t>th</w:t>
      </w:r>
      <w:r w:rsidR="005C4757" w:rsidRPr="005C4757">
        <w:t xml:space="preserve"> July</w:t>
      </w:r>
      <w:r w:rsidR="00D60DBC" w:rsidRPr="005C4757">
        <w:t>.</w:t>
      </w:r>
      <w:r w:rsidR="005C4757">
        <w:rPr>
          <w:b/>
        </w:rPr>
        <w:t xml:space="preserve"> </w:t>
      </w:r>
      <w:r w:rsidR="005C4757" w:rsidRPr="005C4757">
        <w:t xml:space="preserve">Collaboration with CDC on sample referral </w:t>
      </w:r>
      <w:r w:rsidR="005C4757">
        <w:t>plan</w:t>
      </w:r>
      <w:r w:rsidR="005C4757" w:rsidRPr="005C4757">
        <w:t>.</w:t>
      </w:r>
      <w:r w:rsidR="005C4757">
        <w:t xml:space="preserve"> Planned start Aug</w:t>
      </w:r>
      <w:r w:rsidR="00271D8B">
        <w:t>.</w:t>
      </w:r>
      <w:r w:rsidR="005C4757" w:rsidRPr="005C4757">
        <w:t xml:space="preserve"> </w:t>
      </w:r>
      <w:r w:rsidR="005C4757" w:rsidRPr="005C4757">
        <w:rPr>
          <w:b/>
        </w:rPr>
        <w:t xml:space="preserve"> </w:t>
      </w:r>
      <w:r w:rsidR="00D60DBC" w:rsidRPr="005C4757">
        <w:rPr>
          <w:b/>
        </w:rPr>
        <w:t xml:space="preserve"> </w:t>
      </w:r>
      <w:r w:rsidR="002548A6" w:rsidRPr="005C4757">
        <w:rPr>
          <w:b/>
        </w:rPr>
        <w:t xml:space="preserve"> </w:t>
      </w:r>
    </w:p>
    <w:p w14:paraId="081E17FD" w14:textId="3F6F7DDB" w:rsidR="002548A6" w:rsidRPr="005C4757" w:rsidRDefault="0058035B" w:rsidP="000811C0">
      <w:pPr>
        <w:pStyle w:val="ListParagraph"/>
        <w:numPr>
          <w:ilvl w:val="0"/>
          <w:numId w:val="12"/>
        </w:numPr>
        <w:spacing w:after="0"/>
        <w:contextualSpacing w:val="0"/>
        <w:jc w:val="both"/>
      </w:pPr>
      <w:r w:rsidRPr="0058035B">
        <w:rPr>
          <w:b/>
        </w:rPr>
        <w:t>Maintenance situation of analyzers to prevent break down and ensure rapid repair</w:t>
      </w:r>
      <w:r>
        <w:rPr>
          <w:b/>
        </w:rPr>
        <w:t>:</w:t>
      </w:r>
      <w:r w:rsidR="00494A50" w:rsidRPr="0058035B">
        <w:rPr>
          <w:b/>
        </w:rPr>
        <w:t xml:space="preserve"> </w:t>
      </w:r>
      <w:r w:rsidR="005C4757" w:rsidRPr="005C4757">
        <w:t xml:space="preserve">still no maintenance agreement. </w:t>
      </w:r>
      <w:r w:rsidR="005C4757">
        <w:t xml:space="preserve">Idea to lease machines </w:t>
      </w:r>
      <w:r w:rsidR="00271D8B">
        <w:t>was</w:t>
      </w:r>
      <w:r w:rsidR="005C4757">
        <w:t xml:space="preserve"> turned down because of challenges with lab system in Ghana. GF </w:t>
      </w:r>
      <w:r w:rsidR="00271D8B">
        <w:t xml:space="preserve">is </w:t>
      </w:r>
      <w:r w:rsidR="005C4757">
        <w:t>requested to pay for maintenance agreement</w:t>
      </w:r>
      <w:r w:rsidR="008D162D">
        <w:t xml:space="preserve"> for 2018, currently assessment of maintenance cost by LFA</w:t>
      </w:r>
      <w:r w:rsidR="005C4757">
        <w:t xml:space="preserve">. </w:t>
      </w:r>
      <w:r w:rsidR="008D162D">
        <w:t>DG</w:t>
      </w:r>
      <w:r w:rsidR="00271D8B">
        <w:t>/GHS</w:t>
      </w:r>
      <w:r w:rsidR="008D162D">
        <w:t xml:space="preserve">: facilities shall take up maintenance cost. </w:t>
      </w:r>
    </w:p>
    <w:p w14:paraId="3F454130" w14:textId="1F142C4D" w:rsidR="00A02D02" w:rsidRPr="00271D8B" w:rsidRDefault="000001EB" w:rsidP="00271D8B">
      <w:pPr>
        <w:pStyle w:val="ListParagraph"/>
        <w:numPr>
          <w:ilvl w:val="0"/>
          <w:numId w:val="12"/>
        </w:numPr>
        <w:spacing w:after="0"/>
        <w:contextualSpacing w:val="0"/>
        <w:jc w:val="both"/>
      </w:pPr>
      <w:r>
        <w:rPr>
          <w:b/>
        </w:rPr>
        <w:t xml:space="preserve">Procurement of </w:t>
      </w:r>
      <w:proofErr w:type="spellStart"/>
      <w:r>
        <w:rPr>
          <w:b/>
        </w:rPr>
        <w:t>Oraquick</w:t>
      </w:r>
      <w:proofErr w:type="spellEnd"/>
      <w:r>
        <w:rPr>
          <w:b/>
        </w:rPr>
        <w:t xml:space="preserve">: </w:t>
      </w:r>
      <w:r w:rsidR="002A6743" w:rsidRPr="002A6743">
        <w:t>GAC procurement process needs to go through new process, will not procure very quickly. No info when GoG can procure test kits</w:t>
      </w:r>
      <w:r w:rsidR="002A6743">
        <w:t xml:space="preserve">. </w:t>
      </w:r>
    </w:p>
    <w:p w14:paraId="5EE2B2EA" w14:textId="77777777" w:rsidR="009D5974" w:rsidRDefault="00F957F5" w:rsidP="000811C0">
      <w:pPr>
        <w:pStyle w:val="ListParagraph"/>
        <w:numPr>
          <w:ilvl w:val="0"/>
          <w:numId w:val="2"/>
        </w:numPr>
        <w:spacing w:before="240" w:after="120"/>
        <w:ind w:left="357" w:hanging="357"/>
        <w:contextualSpacing w:val="0"/>
        <w:jc w:val="both"/>
        <w:rPr>
          <w:b/>
        </w:rPr>
      </w:pPr>
      <w:r w:rsidRPr="00962157">
        <w:rPr>
          <w:b/>
        </w:rPr>
        <w:t>Financial Management Indicators:</w:t>
      </w:r>
    </w:p>
    <w:tbl>
      <w:tblPr>
        <w:tblStyle w:val="TableGrid"/>
        <w:tblW w:w="0" w:type="auto"/>
        <w:tblInd w:w="357" w:type="dxa"/>
        <w:tblLook w:val="04A0" w:firstRow="1" w:lastRow="0" w:firstColumn="1" w:lastColumn="0" w:noHBand="0" w:noVBand="1"/>
      </w:tblPr>
      <w:tblGrid>
        <w:gridCol w:w="1881"/>
        <w:gridCol w:w="2871"/>
        <w:gridCol w:w="4508"/>
      </w:tblGrid>
      <w:tr w:rsidR="00F1000E" w14:paraId="4AABB80F" w14:textId="77777777" w:rsidTr="00F15F94">
        <w:tc>
          <w:tcPr>
            <w:tcW w:w="1881" w:type="dxa"/>
          </w:tcPr>
          <w:p w14:paraId="39F6AB1A" w14:textId="77777777" w:rsidR="00F1000E" w:rsidRDefault="00F1000E" w:rsidP="007461FA">
            <w:pPr>
              <w:pStyle w:val="ListParagraph"/>
              <w:spacing w:before="120"/>
              <w:ind w:left="0"/>
              <w:contextualSpacing w:val="0"/>
              <w:jc w:val="both"/>
              <w:rPr>
                <w:b/>
              </w:rPr>
            </w:pPr>
            <w:r>
              <w:rPr>
                <w:b/>
              </w:rPr>
              <w:t>Indicator</w:t>
            </w:r>
          </w:p>
        </w:tc>
        <w:tc>
          <w:tcPr>
            <w:tcW w:w="2871" w:type="dxa"/>
          </w:tcPr>
          <w:p w14:paraId="470ED418" w14:textId="77777777" w:rsidR="00F1000E" w:rsidRDefault="00F1000E" w:rsidP="007461FA">
            <w:pPr>
              <w:pStyle w:val="ListParagraph"/>
              <w:spacing w:before="120"/>
              <w:ind w:left="0"/>
              <w:contextualSpacing w:val="0"/>
              <w:jc w:val="both"/>
              <w:rPr>
                <w:b/>
              </w:rPr>
            </w:pPr>
            <w:r>
              <w:rPr>
                <w:b/>
              </w:rPr>
              <w:t xml:space="preserve">Observation </w:t>
            </w:r>
          </w:p>
        </w:tc>
        <w:tc>
          <w:tcPr>
            <w:tcW w:w="4508" w:type="dxa"/>
          </w:tcPr>
          <w:p w14:paraId="1EEB79C8" w14:textId="77777777" w:rsidR="00F1000E" w:rsidRDefault="00F1000E" w:rsidP="007461FA">
            <w:pPr>
              <w:pStyle w:val="ListParagraph"/>
              <w:spacing w:before="120"/>
              <w:ind w:left="0"/>
              <w:contextualSpacing w:val="0"/>
              <w:jc w:val="both"/>
              <w:rPr>
                <w:b/>
              </w:rPr>
            </w:pPr>
            <w:r>
              <w:rPr>
                <w:b/>
              </w:rPr>
              <w:t xml:space="preserve">Answer / Decision </w:t>
            </w:r>
          </w:p>
        </w:tc>
      </w:tr>
      <w:tr w:rsidR="00F1000E" w14:paraId="56F913D4" w14:textId="77777777" w:rsidTr="00F15F94">
        <w:tc>
          <w:tcPr>
            <w:tcW w:w="1881" w:type="dxa"/>
          </w:tcPr>
          <w:p w14:paraId="38C0FF73" w14:textId="77777777" w:rsidR="00F1000E" w:rsidRDefault="00F1000E" w:rsidP="00AB5F15">
            <w:pPr>
              <w:pStyle w:val="ListParagraph"/>
              <w:spacing w:before="120"/>
              <w:ind w:left="0"/>
              <w:contextualSpacing w:val="0"/>
              <w:rPr>
                <w:b/>
              </w:rPr>
            </w:pPr>
            <w:r>
              <w:rPr>
                <w:b/>
              </w:rPr>
              <w:t>Absorption rate</w:t>
            </w:r>
          </w:p>
        </w:tc>
        <w:tc>
          <w:tcPr>
            <w:tcW w:w="2871" w:type="dxa"/>
          </w:tcPr>
          <w:p w14:paraId="0AD5301D" w14:textId="77777777" w:rsidR="00F1000E" w:rsidRDefault="001A5EC4" w:rsidP="001A5EC4">
            <w:pPr>
              <w:pStyle w:val="ListParagraph"/>
              <w:spacing w:before="120"/>
              <w:ind w:left="0"/>
              <w:contextualSpacing w:val="0"/>
            </w:pPr>
            <w:r>
              <w:t>79% cum (78% PPM, 95% NACP), 60% quarterly (61% PPM, 73% NACP)</w:t>
            </w:r>
          </w:p>
          <w:p w14:paraId="1CD64925" w14:textId="1B50C36D" w:rsidR="00994374" w:rsidRDefault="00994374" w:rsidP="001A5EC4">
            <w:pPr>
              <w:pStyle w:val="ListParagraph"/>
              <w:spacing w:before="120"/>
              <w:ind w:left="0"/>
              <w:contextualSpacing w:val="0"/>
            </w:pPr>
            <w:r>
              <w:t xml:space="preserve">Cum disbursement rate </w:t>
            </w:r>
            <w:r w:rsidR="00271D8B">
              <w:t>only</w:t>
            </w:r>
            <w:r>
              <w:t xml:space="preserve"> at 80%. Impact on grant implementation?</w:t>
            </w:r>
          </w:p>
          <w:p w14:paraId="0AC3C254" w14:textId="77777777" w:rsidR="002A6743" w:rsidRDefault="002A6743" w:rsidP="001A5EC4">
            <w:pPr>
              <w:pStyle w:val="ListParagraph"/>
              <w:spacing w:before="120"/>
              <w:ind w:left="0"/>
              <w:contextualSpacing w:val="0"/>
            </w:pPr>
          </w:p>
          <w:p w14:paraId="1302BC80" w14:textId="77777777" w:rsidR="002A6743" w:rsidRDefault="002A6743" w:rsidP="001A5EC4">
            <w:pPr>
              <w:pStyle w:val="ListParagraph"/>
              <w:spacing w:before="120"/>
              <w:ind w:left="0"/>
              <w:contextualSpacing w:val="0"/>
            </w:pPr>
          </w:p>
          <w:p w14:paraId="39A7CF50" w14:textId="3D8C55B3" w:rsidR="00000756" w:rsidRPr="00A579B2" w:rsidRDefault="00000756" w:rsidP="00A579B2">
            <w:pPr>
              <w:pStyle w:val="ListParagraph"/>
              <w:spacing w:before="120"/>
              <w:ind w:left="0"/>
              <w:contextualSpacing w:val="0"/>
              <w:rPr>
                <w:rFonts w:ascii="Calibri" w:hAnsi="Calibri" w:cs="Calibri"/>
                <w:color w:val="1F497D"/>
              </w:rPr>
            </w:pPr>
            <w:r>
              <w:lastRenderedPageBreak/>
              <w:t xml:space="preserve">Explain </w:t>
            </w:r>
            <w:r w:rsidR="006049B4">
              <w:t>revised budget</w:t>
            </w:r>
            <w:r w:rsidR="00A579B2">
              <w:t xml:space="preserve">: </w:t>
            </w:r>
            <w:r w:rsidR="00A579B2" w:rsidRPr="00A579B2">
              <w:t xml:space="preserve">total PPM budget decreased while </w:t>
            </w:r>
            <w:r w:rsidR="00A579B2">
              <w:t>NACP</w:t>
            </w:r>
            <w:r w:rsidR="00A579B2" w:rsidRPr="00A579B2">
              <w:t xml:space="preserve"> budget increased</w:t>
            </w:r>
            <w:r w:rsidR="00A579B2">
              <w:t>.</w:t>
            </w:r>
            <w:r w:rsidR="00A579B2" w:rsidRPr="00A579B2">
              <w:t xml:space="preserve"> PPM budgets of the first quarters were revised significantly retrospectively, </w:t>
            </w:r>
            <w:r w:rsidR="00A579B2">
              <w:t>which would have allowed higher commodity procurement / security</w:t>
            </w:r>
          </w:p>
        </w:tc>
        <w:tc>
          <w:tcPr>
            <w:tcW w:w="4508" w:type="dxa"/>
          </w:tcPr>
          <w:p w14:paraId="48C3C971" w14:textId="77777777" w:rsidR="00AB5F15" w:rsidRDefault="00AB5F15" w:rsidP="00B8037B">
            <w:pPr>
              <w:pStyle w:val="ListParagraph"/>
              <w:spacing w:before="120"/>
              <w:ind w:left="0"/>
              <w:contextualSpacing w:val="0"/>
              <w:jc w:val="both"/>
            </w:pPr>
          </w:p>
          <w:p w14:paraId="1A13C653" w14:textId="77777777" w:rsidR="002A6743" w:rsidRDefault="002A6743" w:rsidP="00B8037B">
            <w:pPr>
              <w:pStyle w:val="ListParagraph"/>
              <w:spacing w:before="120"/>
              <w:ind w:left="0"/>
              <w:contextualSpacing w:val="0"/>
              <w:jc w:val="both"/>
            </w:pPr>
          </w:p>
          <w:p w14:paraId="03AC2291" w14:textId="7A604208" w:rsidR="002A6743" w:rsidRDefault="002A6743" w:rsidP="00B8037B">
            <w:pPr>
              <w:pStyle w:val="ListParagraph"/>
              <w:spacing w:before="120"/>
              <w:ind w:left="0"/>
              <w:contextualSpacing w:val="0"/>
              <w:jc w:val="both"/>
            </w:pPr>
            <w:r>
              <w:t>1.5m transfer to PPME (data strengthening) was delayed because of lack of funds. GF asked again for forecast in order to get another disbursement, which delays the disbursements.  2016: disbursement request. GF send disbursement schedule and asked for new forecast.</w:t>
            </w:r>
          </w:p>
          <w:p w14:paraId="6AB3983C" w14:textId="2B756B11" w:rsidR="002A6743" w:rsidRDefault="00DA3E7A" w:rsidP="00B8037B">
            <w:pPr>
              <w:pStyle w:val="ListParagraph"/>
              <w:spacing w:before="120"/>
              <w:ind w:left="0"/>
              <w:contextualSpacing w:val="0"/>
              <w:jc w:val="both"/>
            </w:pPr>
            <w:r>
              <w:lastRenderedPageBreak/>
              <w:t xml:space="preserve">Chunk of savings under PPM. Some funds saved cannot be spent by NACP but that are ring-fenced for LMD and other activities. </w:t>
            </w:r>
            <w:r w:rsidR="0058108B">
              <w:t xml:space="preserve">Payments made directly to IHS, </w:t>
            </w:r>
            <w:proofErr w:type="spellStart"/>
            <w:r w:rsidR="0058108B">
              <w:t>Chemonics</w:t>
            </w:r>
            <w:proofErr w:type="spellEnd"/>
            <w:r w:rsidR="0058108B">
              <w:t xml:space="preserve"> and JSI are not communicated to NACP so that the burn rate may be actually 3% higher.</w:t>
            </w:r>
          </w:p>
          <w:p w14:paraId="39ED12DA" w14:textId="732880E7" w:rsidR="002A6743" w:rsidRPr="001571F6" w:rsidRDefault="00DA3E7A" w:rsidP="00B8037B">
            <w:pPr>
              <w:pStyle w:val="ListParagraph"/>
              <w:spacing w:before="120"/>
              <w:ind w:left="0"/>
              <w:contextualSpacing w:val="0"/>
              <w:jc w:val="both"/>
            </w:pPr>
            <w:r>
              <w:t>Problematic for NACP to receive info on savings from PPM timely</w:t>
            </w:r>
            <w:r w:rsidR="00C96A81">
              <w:t xml:space="preserve"> – concern to be communicated to GF</w:t>
            </w:r>
            <w:r>
              <w:t>.</w:t>
            </w:r>
          </w:p>
        </w:tc>
      </w:tr>
    </w:tbl>
    <w:p w14:paraId="76756D43" w14:textId="77777777" w:rsidR="00FF12DE" w:rsidRDefault="00FF12DE" w:rsidP="00FF12DE">
      <w:pPr>
        <w:rPr>
          <w:b/>
        </w:rPr>
      </w:pPr>
    </w:p>
    <w:p w14:paraId="7DFA64DD" w14:textId="6CF7B8B2" w:rsidR="00F957F5" w:rsidRDefault="00F957F5" w:rsidP="000811C0">
      <w:pPr>
        <w:pStyle w:val="ListParagraph"/>
        <w:numPr>
          <w:ilvl w:val="0"/>
          <w:numId w:val="2"/>
        </w:numPr>
        <w:spacing w:before="360" w:after="120"/>
        <w:ind w:left="357" w:hanging="357"/>
        <w:contextualSpacing w:val="0"/>
        <w:jc w:val="both"/>
        <w:rPr>
          <w:b/>
        </w:rPr>
      </w:pPr>
      <w:r w:rsidRPr="00F13BBA">
        <w:rPr>
          <w:b/>
        </w:rPr>
        <w:t>Management Indicators:</w:t>
      </w:r>
    </w:p>
    <w:tbl>
      <w:tblPr>
        <w:tblStyle w:val="TableGrid"/>
        <w:tblW w:w="0" w:type="auto"/>
        <w:tblInd w:w="357" w:type="dxa"/>
        <w:tblLook w:val="04A0" w:firstRow="1" w:lastRow="0" w:firstColumn="1" w:lastColumn="0" w:noHBand="0" w:noVBand="1"/>
      </w:tblPr>
      <w:tblGrid>
        <w:gridCol w:w="1404"/>
        <w:gridCol w:w="2537"/>
        <w:gridCol w:w="5319"/>
      </w:tblGrid>
      <w:tr w:rsidR="00F15F94" w14:paraId="2862909E" w14:textId="77777777" w:rsidTr="00F15F94">
        <w:tc>
          <w:tcPr>
            <w:tcW w:w="1404" w:type="dxa"/>
          </w:tcPr>
          <w:p w14:paraId="7A5F446D" w14:textId="77777777" w:rsidR="00F15F94" w:rsidRDefault="00F15F94" w:rsidP="00AA23C2">
            <w:pPr>
              <w:pStyle w:val="ListParagraph"/>
              <w:spacing w:before="120"/>
              <w:ind w:left="0"/>
              <w:contextualSpacing w:val="0"/>
              <w:jc w:val="both"/>
              <w:rPr>
                <w:b/>
              </w:rPr>
            </w:pPr>
            <w:r>
              <w:rPr>
                <w:b/>
              </w:rPr>
              <w:t>Indicator</w:t>
            </w:r>
          </w:p>
        </w:tc>
        <w:tc>
          <w:tcPr>
            <w:tcW w:w="2537" w:type="dxa"/>
          </w:tcPr>
          <w:p w14:paraId="33D1023C" w14:textId="77777777" w:rsidR="00F15F94" w:rsidRDefault="00F15F94" w:rsidP="00AA23C2">
            <w:pPr>
              <w:pStyle w:val="ListParagraph"/>
              <w:spacing w:before="120"/>
              <w:ind w:left="0"/>
              <w:contextualSpacing w:val="0"/>
              <w:jc w:val="both"/>
              <w:rPr>
                <w:b/>
              </w:rPr>
            </w:pPr>
            <w:r>
              <w:rPr>
                <w:b/>
              </w:rPr>
              <w:t xml:space="preserve">Observation  </w:t>
            </w:r>
          </w:p>
        </w:tc>
        <w:tc>
          <w:tcPr>
            <w:tcW w:w="5319" w:type="dxa"/>
          </w:tcPr>
          <w:p w14:paraId="744F7C5A" w14:textId="77777777" w:rsidR="00F15F94" w:rsidRDefault="00F15F94" w:rsidP="00AA23C2">
            <w:pPr>
              <w:pStyle w:val="ListParagraph"/>
              <w:spacing w:before="120"/>
              <w:ind w:left="0"/>
              <w:contextualSpacing w:val="0"/>
              <w:jc w:val="both"/>
              <w:rPr>
                <w:b/>
              </w:rPr>
            </w:pPr>
            <w:r>
              <w:rPr>
                <w:b/>
              </w:rPr>
              <w:t xml:space="preserve">Answer / Decision </w:t>
            </w:r>
          </w:p>
        </w:tc>
      </w:tr>
      <w:tr w:rsidR="00F15F94" w14:paraId="4CFABC18" w14:textId="77777777" w:rsidTr="00F15F94">
        <w:trPr>
          <w:trHeight w:val="558"/>
        </w:trPr>
        <w:tc>
          <w:tcPr>
            <w:tcW w:w="1404" w:type="dxa"/>
          </w:tcPr>
          <w:p w14:paraId="3DD83409" w14:textId="77777777" w:rsidR="00F15F94" w:rsidRDefault="00F15F94" w:rsidP="00AA23C2">
            <w:pPr>
              <w:pStyle w:val="ListParagraph"/>
              <w:spacing w:before="120"/>
              <w:ind w:left="0"/>
              <w:contextualSpacing w:val="0"/>
              <w:rPr>
                <w:b/>
              </w:rPr>
            </w:pPr>
            <w:r>
              <w:rPr>
                <w:b/>
              </w:rPr>
              <w:t>Availability of commodities</w:t>
            </w:r>
          </w:p>
        </w:tc>
        <w:tc>
          <w:tcPr>
            <w:tcW w:w="2537" w:type="dxa"/>
          </w:tcPr>
          <w:p w14:paraId="6635F8F8" w14:textId="51F88922" w:rsidR="00E97B08" w:rsidRPr="00E97B08" w:rsidRDefault="00E97B08" w:rsidP="00E97B08">
            <w:pPr>
              <w:rPr>
                <w:rFonts w:ascii="Calibri" w:hAnsi="Calibri" w:cs="Calibri"/>
                <w:color w:val="000000" w:themeColor="text1"/>
              </w:rPr>
            </w:pPr>
            <w:r w:rsidRPr="00E97B08">
              <w:rPr>
                <w:rFonts w:ascii="Calibri" w:hAnsi="Calibri" w:cs="Calibri"/>
                <w:color w:val="000000" w:themeColor="text1"/>
              </w:rPr>
              <w:t xml:space="preserve">Most ARVS: stock levels &lt;3 months in the RMS. Emergency delivery in April but some E/R, N/R, UW/R RMS will not have enough stock (TLE, combinations included) to sustain until the next scheduled delivery this month. What happened to 30% buffer solution? </w:t>
            </w:r>
          </w:p>
          <w:p w14:paraId="0B8FD71E" w14:textId="77777777" w:rsidR="00E97B08" w:rsidRPr="00E97B08" w:rsidRDefault="00E97B08" w:rsidP="00E97B08">
            <w:pPr>
              <w:rPr>
                <w:rFonts w:ascii="Calibri" w:hAnsi="Calibri" w:cs="Calibri"/>
                <w:color w:val="000000" w:themeColor="text1"/>
              </w:rPr>
            </w:pPr>
          </w:p>
          <w:p w14:paraId="46B1B3BE" w14:textId="77777777" w:rsidR="00E97B08" w:rsidRDefault="00E97B08" w:rsidP="00E97B08">
            <w:pPr>
              <w:rPr>
                <w:rFonts w:ascii="Calibri" w:hAnsi="Calibri" w:cs="Calibri"/>
                <w:color w:val="000000" w:themeColor="text1"/>
              </w:rPr>
            </w:pPr>
            <w:r w:rsidRPr="00E97B08">
              <w:rPr>
                <w:rFonts w:ascii="Calibri" w:hAnsi="Calibri" w:cs="Calibri"/>
                <w:color w:val="000000" w:themeColor="text1"/>
              </w:rPr>
              <w:t>2</w:t>
            </w:r>
            <w:r w:rsidRPr="00E97B08">
              <w:rPr>
                <w:rFonts w:ascii="Calibri" w:hAnsi="Calibri" w:cs="Calibri"/>
                <w:color w:val="000000" w:themeColor="text1"/>
                <w:vertAlign w:val="superscript"/>
              </w:rPr>
              <w:t>nd</w:t>
            </w:r>
            <w:r w:rsidRPr="00E97B08">
              <w:rPr>
                <w:rFonts w:ascii="Calibri" w:hAnsi="Calibri" w:cs="Calibri"/>
                <w:color w:val="000000" w:themeColor="text1"/>
              </w:rPr>
              <w:t xml:space="preserve"> line ARVs: 2 regions entirely stocked out, 2 more probably stocked out by now. </w:t>
            </w:r>
          </w:p>
          <w:p w14:paraId="5D848860" w14:textId="77777777" w:rsidR="00E97B08" w:rsidRPr="00E97B08" w:rsidRDefault="00E97B08" w:rsidP="00E97B08">
            <w:pPr>
              <w:rPr>
                <w:rFonts w:ascii="Calibri" w:hAnsi="Calibri" w:cs="Calibri"/>
                <w:color w:val="000000" w:themeColor="text1"/>
              </w:rPr>
            </w:pPr>
          </w:p>
          <w:p w14:paraId="59DC21F0" w14:textId="79326F7D" w:rsidR="00E97B08" w:rsidRPr="00E97B08" w:rsidRDefault="00E97B08" w:rsidP="00E97B08">
            <w:pPr>
              <w:rPr>
                <w:rFonts w:ascii="Calibri" w:hAnsi="Calibri" w:cs="Calibri"/>
                <w:color w:val="000000" w:themeColor="text1"/>
              </w:rPr>
            </w:pPr>
            <w:r w:rsidRPr="00E97B08">
              <w:rPr>
                <w:rFonts w:ascii="Calibri" w:hAnsi="Calibri" w:cs="Calibri"/>
                <w:color w:val="000000" w:themeColor="text1"/>
              </w:rPr>
              <w:t>Enormous stocks of Nevirapine suspension at the central level, but shortage at RMS.</w:t>
            </w:r>
          </w:p>
          <w:p w14:paraId="67F77BD4" w14:textId="47EAF8F8" w:rsidR="00F15F94" w:rsidRDefault="001A5EC4" w:rsidP="00F15F94">
            <w:pPr>
              <w:spacing w:before="120"/>
            </w:pPr>
            <w:r>
              <w:t>Email on potential expiries sent to NACP</w:t>
            </w:r>
          </w:p>
          <w:p w14:paraId="6FB42BD0" w14:textId="77777777" w:rsidR="000001EB" w:rsidRDefault="000001EB" w:rsidP="000001EB">
            <w:pPr>
              <w:rPr>
                <w:rFonts w:ascii="Calibri" w:hAnsi="Calibri" w:cs="Calibri"/>
                <w:color w:val="000000" w:themeColor="text1"/>
              </w:rPr>
            </w:pPr>
          </w:p>
          <w:p w14:paraId="008D688E" w14:textId="77777777" w:rsidR="00F15F94" w:rsidRDefault="000001EB" w:rsidP="000001EB">
            <w:pPr>
              <w:rPr>
                <w:rFonts w:ascii="Calibri" w:hAnsi="Calibri" w:cs="Calibri"/>
                <w:color w:val="000000" w:themeColor="text1"/>
              </w:rPr>
            </w:pPr>
            <w:proofErr w:type="spellStart"/>
            <w:r>
              <w:rPr>
                <w:rFonts w:ascii="Calibri" w:hAnsi="Calibri" w:cs="Calibri"/>
                <w:color w:val="000000" w:themeColor="text1"/>
              </w:rPr>
              <w:t>Oraquick</w:t>
            </w:r>
            <w:proofErr w:type="spellEnd"/>
            <w:r>
              <w:rPr>
                <w:rFonts w:ascii="Calibri" w:hAnsi="Calibri" w:cs="Calibri"/>
                <w:color w:val="000000" w:themeColor="text1"/>
              </w:rPr>
              <w:t xml:space="preserve">: when is the next shipment? </w:t>
            </w:r>
          </w:p>
          <w:p w14:paraId="4BF0D113" w14:textId="77777777" w:rsidR="007337AF" w:rsidRDefault="007337AF" w:rsidP="000001EB">
            <w:pPr>
              <w:rPr>
                <w:rFonts w:ascii="Calibri" w:hAnsi="Calibri" w:cs="Calibri"/>
                <w:color w:val="000000" w:themeColor="text1"/>
              </w:rPr>
            </w:pPr>
          </w:p>
          <w:p w14:paraId="2A511C6E" w14:textId="5A90A262" w:rsidR="007337AF" w:rsidRPr="000001EB" w:rsidRDefault="007337AF" w:rsidP="000001EB">
            <w:pPr>
              <w:rPr>
                <w:rFonts w:ascii="Calibri" w:hAnsi="Calibri" w:cs="Calibri"/>
                <w:color w:val="000000" w:themeColor="text1"/>
              </w:rPr>
            </w:pPr>
            <w:r>
              <w:rPr>
                <w:rFonts w:ascii="Calibri" w:hAnsi="Calibri" w:cs="Calibri"/>
                <w:color w:val="000000" w:themeColor="text1"/>
              </w:rPr>
              <w:t>Zidovudine children stock out</w:t>
            </w:r>
          </w:p>
        </w:tc>
        <w:tc>
          <w:tcPr>
            <w:tcW w:w="5319" w:type="dxa"/>
          </w:tcPr>
          <w:p w14:paraId="14259774" w14:textId="7A9A8801" w:rsidR="00C07B67" w:rsidRDefault="00C96A81" w:rsidP="00F15F94">
            <w:pPr>
              <w:pStyle w:val="ListParagraph"/>
              <w:spacing w:before="120"/>
              <w:ind w:left="0"/>
              <w:contextualSpacing w:val="0"/>
            </w:pPr>
            <w:r>
              <w:t>RMS move stock quickly to facilities. Vans used for ITNs</w:t>
            </w:r>
            <w:r w:rsidR="0058108B">
              <w:t xml:space="preserve"> and others and </w:t>
            </w:r>
            <w:r>
              <w:t xml:space="preserve">NACP had to wait for </w:t>
            </w:r>
            <w:r w:rsidR="0058108B">
              <w:t xml:space="preserve">the </w:t>
            </w:r>
            <w:r>
              <w:t>van</w:t>
            </w:r>
            <w:r w:rsidR="0058108B">
              <w:t>s</w:t>
            </w:r>
            <w:r>
              <w:t xml:space="preserve"> to distribute ARVs. Training for facilities for PSCM. </w:t>
            </w:r>
            <w:r w:rsidR="00C07B67">
              <w:t>30% buffer solution only in beginning of T&amp;T</w:t>
            </w:r>
            <w:r w:rsidR="0058108B">
              <w:t>, not anymore</w:t>
            </w:r>
            <w:r w:rsidR="00C07B67">
              <w:t>. Emergency delivery carried out in May, not April, is not reflected in April stock levels.</w:t>
            </w:r>
          </w:p>
          <w:p w14:paraId="2856C1C0" w14:textId="7380CBA1" w:rsidR="00C07B67" w:rsidRDefault="00C07B67" w:rsidP="00F15F94">
            <w:pPr>
              <w:pStyle w:val="ListParagraph"/>
              <w:spacing w:before="120"/>
              <w:ind w:left="0"/>
              <w:contextualSpacing w:val="0"/>
            </w:pPr>
            <w:r>
              <w:t xml:space="preserve">Assumptions in the DB need to be adjusted. Support from GMS with the PR DB necessary. </w:t>
            </w:r>
          </w:p>
          <w:p w14:paraId="2353B9AC" w14:textId="77777777" w:rsidR="00C07B67" w:rsidRDefault="00C07B67" w:rsidP="00F15F94">
            <w:pPr>
              <w:pStyle w:val="ListParagraph"/>
              <w:spacing w:before="120"/>
              <w:ind w:left="0"/>
              <w:contextualSpacing w:val="0"/>
            </w:pPr>
          </w:p>
          <w:p w14:paraId="5E06AF12" w14:textId="77777777" w:rsidR="00C07B67" w:rsidRDefault="00C07B67" w:rsidP="00F15F94">
            <w:pPr>
              <w:pStyle w:val="ListParagraph"/>
              <w:spacing w:before="120"/>
              <w:ind w:left="0"/>
              <w:contextualSpacing w:val="0"/>
            </w:pPr>
          </w:p>
          <w:p w14:paraId="417734D8" w14:textId="77777777" w:rsidR="00C07B67" w:rsidRDefault="00C07B67" w:rsidP="00F15F94">
            <w:pPr>
              <w:pStyle w:val="ListParagraph"/>
              <w:spacing w:before="120"/>
              <w:ind w:left="0"/>
              <w:contextualSpacing w:val="0"/>
            </w:pPr>
          </w:p>
          <w:p w14:paraId="153328D3" w14:textId="77777777" w:rsidR="00C07B67" w:rsidRDefault="00C07B67" w:rsidP="00F15F94">
            <w:pPr>
              <w:pStyle w:val="ListParagraph"/>
              <w:spacing w:before="120"/>
              <w:ind w:left="0"/>
              <w:contextualSpacing w:val="0"/>
            </w:pPr>
          </w:p>
          <w:p w14:paraId="66B1DEC6" w14:textId="77777777" w:rsidR="00C07B67" w:rsidRDefault="00C07B67" w:rsidP="00F15F94">
            <w:pPr>
              <w:pStyle w:val="ListParagraph"/>
              <w:spacing w:before="120"/>
              <w:ind w:left="0"/>
              <w:contextualSpacing w:val="0"/>
            </w:pPr>
          </w:p>
          <w:p w14:paraId="50BC2DA4" w14:textId="77777777" w:rsidR="00C07B67" w:rsidRDefault="00C07B67" w:rsidP="00F15F94">
            <w:pPr>
              <w:pStyle w:val="ListParagraph"/>
              <w:spacing w:before="120"/>
              <w:ind w:left="0"/>
              <w:contextualSpacing w:val="0"/>
            </w:pPr>
          </w:p>
          <w:p w14:paraId="1C3FE975" w14:textId="77777777" w:rsidR="00F15F94" w:rsidRDefault="00C07B67" w:rsidP="00F15F94">
            <w:pPr>
              <w:pStyle w:val="ListParagraph"/>
              <w:spacing w:before="120"/>
              <w:ind w:left="0"/>
              <w:contextualSpacing w:val="0"/>
            </w:pPr>
            <w:r>
              <w:t xml:space="preserve"> </w:t>
            </w:r>
          </w:p>
          <w:p w14:paraId="5AEBED1E" w14:textId="77777777" w:rsidR="007337AF" w:rsidRDefault="007337AF" w:rsidP="00F15F94">
            <w:pPr>
              <w:pStyle w:val="ListParagraph"/>
              <w:spacing w:before="120"/>
              <w:ind w:left="0"/>
              <w:contextualSpacing w:val="0"/>
            </w:pPr>
          </w:p>
          <w:p w14:paraId="27F479E8" w14:textId="162EB94E" w:rsidR="007337AF" w:rsidRDefault="00AD6B63" w:rsidP="00F15F94">
            <w:pPr>
              <w:pStyle w:val="ListParagraph"/>
              <w:spacing w:before="120"/>
              <w:ind w:left="0"/>
              <w:contextualSpacing w:val="0"/>
            </w:pPr>
            <w:r>
              <w:t xml:space="preserve">Most are children’s ARV that are more difficult to manage. Buffer when commodities were ordered, </w:t>
            </w:r>
            <w:r w:rsidR="008756F7">
              <w:t>now there was an over-</w:t>
            </w:r>
            <w:r>
              <w:t>supply in the country</w:t>
            </w:r>
          </w:p>
          <w:p w14:paraId="68F5833C" w14:textId="77777777" w:rsidR="007337AF" w:rsidRDefault="007337AF" w:rsidP="00F15F94">
            <w:pPr>
              <w:pStyle w:val="ListParagraph"/>
              <w:spacing w:before="120"/>
              <w:ind w:left="0"/>
              <w:contextualSpacing w:val="0"/>
            </w:pPr>
          </w:p>
          <w:p w14:paraId="2DB8795A" w14:textId="77777777" w:rsidR="007337AF" w:rsidRDefault="007337AF" w:rsidP="00F15F94">
            <w:pPr>
              <w:pStyle w:val="ListParagraph"/>
              <w:spacing w:before="120"/>
              <w:ind w:left="0"/>
              <w:contextualSpacing w:val="0"/>
            </w:pPr>
          </w:p>
          <w:p w14:paraId="04BC75AA" w14:textId="15FD4A74" w:rsidR="007337AF" w:rsidRPr="001571F6" w:rsidRDefault="007337AF" w:rsidP="00F15F94">
            <w:pPr>
              <w:pStyle w:val="ListParagraph"/>
              <w:spacing w:before="120"/>
              <w:ind w:left="0"/>
              <w:contextualSpacing w:val="0"/>
            </w:pPr>
            <w:r>
              <w:t xml:space="preserve">Expected E/July, could not be brought in by air. Facilities informed to replace Zidovudine by Nevirapine. </w:t>
            </w:r>
          </w:p>
        </w:tc>
      </w:tr>
    </w:tbl>
    <w:p w14:paraId="7210D104" w14:textId="77777777" w:rsidR="004B2B43" w:rsidRDefault="004B2B43" w:rsidP="004B2B43">
      <w:pPr>
        <w:pStyle w:val="ListParagraph"/>
        <w:spacing w:before="360" w:after="120"/>
        <w:ind w:left="357"/>
        <w:contextualSpacing w:val="0"/>
        <w:jc w:val="both"/>
        <w:rPr>
          <w:b/>
        </w:rPr>
      </w:pPr>
    </w:p>
    <w:p w14:paraId="5BFA509A" w14:textId="77777777" w:rsidR="004B2B43" w:rsidRDefault="004B2B43">
      <w:pPr>
        <w:rPr>
          <w:b/>
        </w:rPr>
      </w:pPr>
      <w:r>
        <w:rPr>
          <w:b/>
        </w:rPr>
        <w:br w:type="page"/>
      </w:r>
    </w:p>
    <w:p w14:paraId="2CF30FB2" w14:textId="197BD76F" w:rsidR="004B2B43" w:rsidRPr="004B2B43" w:rsidRDefault="00F957F5" w:rsidP="004B2B43">
      <w:pPr>
        <w:pStyle w:val="ListParagraph"/>
        <w:numPr>
          <w:ilvl w:val="0"/>
          <w:numId w:val="2"/>
        </w:numPr>
        <w:spacing w:before="360" w:after="120"/>
        <w:ind w:left="357" w:hanging="357"/>
        <w:contextualSpacing w:val="0"/>
        <w:jc w:val="both"/>
        <w:rPr>
          <w:b/>
        </w:rPr>
      </w:pPr>
      <w:r w:rsidRPr="00F13BBA">
        <w:rPr>
          <w:b/>
        </w:rPr>
        <w:lastRenderedPageBreak/>
        <w:t>Programmatic Indicators:</w:t>
      </w:r>
      <w:r w:rsidR="005E3C41">
        <w:rPr>
          <w:b/>
        </w:rPr>
        <w:t xml:space="preserve"> </w:t>
      </w:r>
      <w:r w:rsidR="005E3C41" w:rsidRPr="005E3C41">
        <w:t>Please make use of comment section</w:t>
      </w:r>
      <w:r w:rsidR="005E3C41">
        <w:t>!</w:t>
      </w:r>
    </w:p>
    <w:tbl>
      <w:tblPr>
        <w:tblStyle w:val="TableGrid"/>
        <w:tblW w:w="0" w:type="auto"/>
        <w:tblInd w:w="357" w:type="dxa"/>
        <w:tblLook w:val="04A0" w:firstRow="1" w:lastRow="0" w:firstColumn="1" w:lastColumn="0" w:noHBand="0" w:noVBand="1"/>
      </w:tblPr>
      <w:tblGrid>
        <w:gridCol w:w="1090"/>
        <w:gridCol w:w="2611"/>
        <w:gridCol w:w="5559"/>
      </w:tblGrid>
      <w:tr w:rsidR="00DD716E" w14:paraId="0BF6EE7D" w14:textId="77777777" w:rsidTr="007C3609">
        <w:trPr>
          <w:cantSplit/>
          <w:tblHeader/>
        </w:trPr>
        <w:tc>
          <w:tcPr>
            <w:tcW w:w="1090" w:type="dxa"/>
          </w:tcPr>
          <w:p w14:paraId="79BA1F96" w14:textId="77777777" w:rsidR="00DD716E" w:rsidRDefault="00DD716E" w:rsidP="00693B59">
            <w:pPr>
              <w:pStyle w:val="ListParagraph"/>
              <w:spacing w:before="120"/>
              <w:ind w:left="0"/>
              <w:contextualSpacing w:val="0"/>
              <w:jc w:val="both"/>
              <w:rPr>
                <w:b/>
              </w:rPr>
            </w:pPr>
            <w:r>
              <w:rPr>
                <w:b/>
              </w:rPr>
              <w:t>Indicator</w:t>
            </w:r>
          </w:p>
        </w:tc>
        <w:tc>
          <w:tcPr>
            <w:tcW w:w="2611" w:type="dxa"/>
          </w:tcPr>
          <w:p w14:paraId="745AAC88" w14:textId="77777777" w:rsidR="00DD716E" w:rsidRDefault="00DD716E" w:rsidP="00693B59">
            <w:pPr>
              <w:pStyle w:val="ListParagraph"/>
              <w:spacing w:before="120"/>
              <w:ind w:left="0"/>
              <w:contextualSpacing w:val="0"/>
              <w:jc w:val="both"/>
              <w:rPr>
                <w:b/>
              </w:rPr>
            </w:pPr>
            <w:r>
              <w:rPr>
                <w:b/>
              </w:rPr>
              <w:t xml:space="preserve">Observation  </w:t>
            </w:r>
          </w:p>
        </w:tc>
        <w:tc>
          <w:tcPr>
            <w:tcW w:w="5559" w:type="dxa"/>
          </w:tcPr>
          <w:p w14:paraId="5599E51A" w14:textId="77777777" w:rsidR="00DD716E" w:rsidRDefault="00DD716E" w:rsidP="00693B59">
            <w:pPr>
              <w:pStyle w:val="ListParagraph"/>
              <w:spacing w:before="120"/>
              <w:ind w:left="0"/>
              <w:contextualSpacing w:val="0"/>
              <w:jc w:val="both"/>
              <w:rPr>
                <w:b/>
              </w:rPr>
            </w:pPr>
            <w:r>
              <w:rPr>
                <w:b/>
              </w:rPr>
              <w:t xml:space="preserve">Answer / Decision </w:t>
            </w:r>
          </w:p>
        </w:tc>
      </w:tr>
      <w:tr w:rsidR="00DD716E" w14:paraId="2627A871" w14:textId="77777777" w:rsidTr="007C3609">
        <w:trPr>
          <w:trHeight w:val="558"/>
        </w:trPr>
        <w:tc>
          <w:tcPr>
            <w:tcW w:w="1090" w:type="dxa"/>
          </w:tcPr>
          <w:p w14:paraId="1B27F54C" w14:textId="77777777" w:rsidR="00DD716E" w:rsidRPr="00F44C73" w:rsidRDefault="00DD716E" w:rsidP="00DD716E">
            <w:pPr>
              <w:pStyle w:val="ListParagraph"/>
              <w:spacing w:before="120"/>
              <w:ind w:left="0"/>
              <w:contextualSpacing w:val="0"/>
              <w:rPr>
                <w:b/>
              </w:rPr>
            </w:pPr>
            <w:r>
              <w:rPr>
                <w:b/>
              </w:rPr>
              <w:t># on ART</w:t>
            </w:r>
          </w:p>
        </w:tc>
        <w:tc>
          <w:tcPr>
            <w:tcW w:w="2611" w:type="dxa"/>
          </w:tcPr>
          <w:p w14:paraId="66FA2DD0" w14:textId="259F9760" w:rsidR="000E205E" w:rsidRPr="001571F6" w:rsidRDefault="006C0FE6" w:rsidP="00693B59">
            <w:pPr>
              <w:pStyle w:val="ListParagraph"/>
              <w:spacing w:before="120"/>
              <w:ind w:left="34"/>
            </w:pPr>
            <w:r>
              <w:t xml:space="preserve">83%: </w:t>
            </w:r>
            <w:r w:rsidR="009D56AA">
              <w:t>100,665 on ART</w:t>
            </w:r>
            <w:r w:rsidR="003372F6">
              <w:t xml:space="preserve"> same as Q4/2016</w:t>
            </w:r>
            <w:r w:rsidR="009D56AA">
              <w:t>: adjusted for loss to follow up?</w:t>
            </w:r>
          </w:p>
        </w:tc>
        <w:tc>
          <w:tcPr>
            <w:tcW w:w="5559" w:type="dxa"/>
          </w:tcPr>
          <w:p w14:paraId="26BC7029" w14:textId="0101409F" w:rsidR="00DD716E" w:rsidRPr="001571F6" w:rsidRDefault="00AD6B63" w:rsidP="00B01006">
            <w:pPr>
              <w:pStyle w:val="ListParagraph"/>
              <w:spacing w:before="120"/>
              <w:ind w:left="0"/>
              <w:contextualSpacing w:val="0"/>
            </w:pPr>
            <w:r>
              <w:t xml:space="preserve">Due to transition to e-tracker, result data will only be available in December 2017 as agreed with partners, incl. GF. </w:t>
            </w:r>
            <w:r w:rsidR="008756F7">
              <w:t>No reliable reporting on this indicator until then.</w:t>
            </w:r>
          </w:p>
        </w:tc>
      </w:tr>
      <w:tr w:rsidR="00DD716E" w:rsidRPr="008A51CE" w14:paraId="5888CBA1" w14:textId="77777777" w:rsidTr="007C3609">
        <w:trPr>
          <w:trHeight w:val="558"/>
        </w:trPr>
        <w:tc>
          <w:tcPr>
            <w:tcW w:w="1090" w:type="dxa"/>
          </w:tcPr>
          <w:p w14:paraId="5A75BED5" w14:textId="77777777" w:rsidR="00DD716E" w:rsidRPr="00F44C73" w:rsidRDefault="00DD716E" w:rsidP="00DD716E">
            <w:pPr>
              <w:pStyle w:val="ListParagraph"/>
              <w:spacing w:before="120"/>
              <w:ind w:left="0"/>
              <w:contextualSpacing w:val="0"/>
              <w:rPr>
                <w:b/>
              </w:rPr>
            </w:pPr>
            <w:r>
              <w:rPr>
                <w:b/>
              </w:rPr>
              <w:t xml:space="preserve">ART </w:t>
            </w:r>
            <w:r w:rsidRPr="003D464B">
              <w:rPr>
                <w:b/>
              </w:rPr>
              <w:t>pregnant women</w:t>
            </w:r>
          </w:p>
        </w:tc>
        <w:tc>
          <w:tcPr>
            <w:tcW w:w="2611" w:type="dxa"/>
          </w:tcPr>
          <w:p w14:paraId="7226CBAA" w14:textId="2DC2B670" w:rsidR="00624606" w:rsidRPr="00910047" w:rsidRDefault="006C0FE6" w:rsidP="002E3C52">
            <w:pPr>
              <w:pStyle w:val="ListParagraph"/>
              <w:spacing w:before="120"/>
              <w:ind w:left="0"/>
              <w:contextualSpacing w:val="0"/>
            </w:pPr>
            <w:r>
              <w:t>52%</w:t>
            </w:r>
            <w:r w:rsidR="00910047">
              <w:t>:</w:t>
            </w:r>
            <w:r>
              <w:t xml:space="preserve"> </w:t>
            </w:r>
            <w:r w:rsidR="00910047">
              <w:t xml:space="preserve">Target increased and result dropped. </w:t>
            </w:r>
            <w:r w:rsidR="00910047" w:rsidRPr="00910047">
              <w:t>Improvements in AR, ER, GAR, drop in all other regions. Worst performing regions UER (17%), EWR (4%) and VR (30%)</w:t>
            </w:r>
          </w:p>
        </w:tc>
        <w:tc>
          <w:tcPr>
            <w:tcW w:w="5559" w:type="dxa"/>
          </w:tcPr>
          <w:p w14:paraId="04932F5D" w14:textId="6E4C28C5" w:rsidR="00124DDC" w:rsidRDefault="003A664F" w:rsidP="00124DDC">
            <w:pPr>
              <w:pStyle w:val="ListParagraph"/>
              <w:spacing w:before="120"/>
              <w:ind w:left="0"/>
              <w:contextualSpacing w:val="0"/>
            </w:pPr>
            <w:r>
              <w:t xml:space="preserve">Consolidated ANC registers introduced to be used by all programs. Registers to be printed by all programs but only NACP did supply registers. Numbers entirely inadequate, some facilities use improvised registers. </w:t>
            </w:r>
            <w:r w:rsidR="008756F7">
              <w:t xml:space="preserve">Number of pregnant women to be enrolled on ART depends on number tested positive. Result is actually better than in previous quarters: </w:t>
            </w:r>
          </w:p>
          <w:p w14:paraId="1D8CBAAF" w14:textId="167BB32C" w:rsidR="008A51CE" w:rsidRPr="00C04259" w:rsidRDefault="008A51CE" w:rsidP="00124DDC">
            <w:pPr>
              <w:pStyle w:val="ListParagraph"/>
              <w:spacing w:before="120"/>
              <w:ind w:left="0"/>
              <w:contextualSpacing w:val="0"/>
            </w:pPr>
            <w:r w:rsidRPr="00C04259">
              <w:t>Q4: HIV+: 7574 ART: 2693 = 36%</w:t>
            </w:r>
          </w:p>
          <w:p w14:paraId="12A4D4EA" w14:textId="229550AA" w:rsidR="008A51CE" w:rsidRPr="008A51CE" w:rsidRDefault="008A51CE" w:rsidP="00124DDC">
            <w:pPr>
              <w:pStyle w:val="ListParagraph"/>
              <w:spacing w:before="120"/>
              <w:ind w:left="0"/>
              <w:contextualSpacing w:val="0"/>
              <w:rPr>
                <w:lang w:val="de-DE"/>
              </w:rPr>
            </w:pPr>
            <w:r w:rsidRPr="008A51CE">
              <w:rPr>
                <w:lang w:val="de-DE"/>
              </w:rPr>
              <w:t>Q1: HIV+: 3843 ART: 2174 = 57%</w:t>
            </w:r>
          </w:p>
        </w:tc>
      </w:tr>
      <w:tr w:rsidR="00DD716E" w14:paraId="684D599C" w14:textId="77777777" w:rsidTr="007C3609">
        <w:trPr>
          <w:trHeight w:val="558"/>
        </w:trPr>
        <w:tc>
          <w:tcPr>
            <w:tcW w:w="1090" w:type="dxa"/>
          </w:tcPr>
          <w:p w14:paraId="12F8C94A" w14:textId="3AE29262" w:rsidR="00DD716E" w:rsidRPr="00F44C73" w:rsidRDefault="00DD716E" w:rsidP="00DD716E">
            <w:pPr>
              <w:pStyle w:val="ListParagraph"/>
              <w:spacing w:before="120"/>
              <w:ind w:left="0"/>
              <w:contextualSpacing w:val="0"/>
              <w:rPr>
                <w:b/>
              </w:rPr>
            </w:pPr>
            <w:r>
              <w:rPr>
                <w:b/>
              </w:rPr>
              <w:t>EID</w:t>
            </w:r>
          </w:p>
        </w:tc>
        <w:tc>
          <w:tcPr>
            <w:tcW w:w="2611" w:type="dxa"/>
          </w:tcPr>
          <w:p w14:paraId="6D4EE1A3" w14:textId="7D2F8A63" w:rsidR="00DD716E" w:rsidRPr="001571F6" w:rsidRDefault="009519C3" w:rsidP="002D697C">
            <w:r>
              <w:t xml:space="preserve">39% but only thanks to WR, ER and GAR. 6 regions with &lt;15%. </w:t>
            </w:r>
          </w:p>
        </w:tc>
        <w:tc>
          <w:tcPr>
            <w:tcW w:w="5559" w:type="dxa"/>
          </w:tcPr>
          <w:p w14:paraId="748D3594" w14:textId="2B419E1E" w:rsidR="009D7539" w:rsidRPr="001571F6" w:rsidRDefault="002D697C" w:rsidP="009D259A">
            <w:pPr>
              <w:pStyle w:val="ListParagraph"/>
              <w:spacing w:before="120"/>
              <w:ind w:left="0"/>
              <w:contextualSpacing w:val="0"/>
            </w:pPr>
            <w:r>
              <w:t>Adjusted regional targets according to HSS results</w:t>
            </w:r>
            <w:r w:rsidR="004B2B43">
              <w:t>. Some regions did not report, therefore zero result</w:t>
            </w:r>
          </w:p>
        </w:tc>
      </w:tr>
      <w:tr w:rsidR="00DD716E" w14:paraId="2FC04B27" w14:textId="77777777" w:rsidTr="007C3609">
        <w:trPr>
          <w:trHeight w:val="558"/>
        </w:trPr>
        <w:tc>
          <w:tcPr>
            <w:tcW w:w="1090" w:type="dxa"/>
          </w:tcPr>
          <w:p w14:paraId="7A73B6C5" w14:textId="77777777" w:rsidR="00DD716E" w:rsidRDefault="00DD716E" w:rsidP="00DD716E">
            <w:pPr>
              <w:pStyle w:val="ListParagraph"/>
              <w:spacing w:before="120"/>
              <w:ind w:left="0"/>
              <w:contextualSpacing w:val="0"/>
              <w:rPr>
                <w:b/>
              </w:rPr>
            </w:pPr>
            <w:r w:rsidRPr="00F44C73">
              <w:rPr>
                <w:b/>
              </w:rPr>
              <w:t>HT</w:t>
            </w:r>
            <w:r>
              <w:rPr>
                <w:b/>
              </w:rPr>
              <w:t>S</w:t>
            </w:r>
            <w:r w:rsidRPr="00F44C73">
              <w:rPr>
                <w:b/>
              </w:rPr>
              <w:t xml:space="preserve"> pregnant</w:t>
            </w:r>
            <w:r>
              <w:t xml:space="preserve"> </w:t>
            </w:r>
            <w:r w:rsidRPr="003D464B">
              <w:rPr>
                <w:b/>
              </w:rPr>
              <w:t>women</w:t>
            </w:r>
          </w:p>
        </w:tc>
        <w:tc>
          <w:tcPr>
            <w:tcW w:w="2611" w:type="dxa"/>
          </w:tcPr>
          <w:p w14:paraId="4437A27F" w14:textId="6D81B4FC" w:rsidR="00DD716E" w:rsidRPr="001571F6" w:rsidRDefault="001A151D" w:rsidP="001A151D">
            <w:pPr>
              <w:pStyle w:val="ListParagraph"/>
              <w:spacing w:before="120"/>
              <w:ind w:left="0"/>
              <w:contextualSpacing w:val="0"/>
            </w:pPr>
            <w:r>
              <w:t>88%. Increased target and result. Best quarterly result so far both % and absolute. All regions except AR &gt;=80%</w:t>
            </w:r>
          </w:p>
        </w:tc>
        <w:tc>
          <w:tcPr>
            <w:tcW w:w="5559" w:type="dxa"/>
          </w:tcPr>
          <w:p w14:paraId="27A2880E" w14:textId="77777777" w:rsidR="00FF12DE" w:rsidRDefault="00FF12DE" w:rsidP="00693B59">
            <w:pPr>
              <w:pStyle w:val="ListParagraph"/>
              <w:spacing w:before="120"/>
              <w:ind w:left="0"/>
              <w:contextualSpacing w:val="0"/>
            </w:pPr>
          </w:p>
          <w:p w14:paraId="2561B097" w14:textId="77777777" w:rsidR="00FF12DE" w:rsidRPr="001571F6" w:rsidRDefault="00FF12DE" w:rsidP="00FF12DE">
            <w:pPr>
              <w:pStyle w:val="ListParagraph"/>
              <w:ind w:left="0"/>
              <w:contextualSpacing w:val="0"/>
            </w:pPr>
          </w:p>
        </w:tc>
      </w:tr>
      <w:tr w:rsidR="00DD716E" w14:paraId="0016D9AD" w14:textId="77777777" w:rsidTr="007C3609">
        <w:tc>
          <w:tcPr>
            <w:tcW w:w="1090" w:type="dxa"/>
          </w:tcPr>
          <w:p w14:paraId="7F0FD6C7" w14:textId="77777777" w:rsidR="00DD716E" w:rsidRDefault="00DD716E" w:rsidP="00DD716E">
            <w:pPr>
              <w:pStyle w:val="ListParagraph"/>
              <w:spacing w:before="120"/>
              <w:ind w:left="0"/>
              <w:contextualSpacing w:val="0"/>
              <w:rPr>
                <w:b/>
              </w:rPr>
            </w:pPr>
            <w:r>
              <w:rPr>
                <w:b/>
              </w:rPr>
              <w:t>HTS</w:t>
            </w:r>
          </w:p>
        </w:tc>
        <w:tc>
          <w:tcPr>
            <w:tcW w:w="2611" w:type="dxa"/>
          </w:tcPr>
          <w:p w14:paraId="1DAF98AA" w14:textId="71B89021" w:rsidR="00DD716E" w:rsidRPr="001571F6" w:rsidRDefault="001A151D" w:rsidP="00000756">
            <w:pPr>
              <w:spacing w:before="120"/>
            </w:pPr>
            <w:r>
              <w:t xml:space="preserve">45%. Increase in target and drop in result even though 1m test kits arrived and stock was available. </w:t>
            </w:r>
            <w:r w:rsidR="004E2F08">
              <w:t>Plan for 1 m test kits?</w:t>
            </w:r>
          </w:p>
        </w:tc>
        <w:tc>
          <w:tcPr>
            <w:tcW w:w="5559" w:type="dxa"/>
          </w:tcPr>
          <w:p w14:paraId="74807BB6" w14:textId="73EF8436" w:rsidR="00DD716E" w:rsidRPr="001571F6" w:rsidRDefault="004B2B43" w:rsidP="00693B59">
            <w:pPr>
              <w:pStyle w:val="ListParagraph"/>
              <w:spacing w:before="120"/>
              <w:ind w:left="0"/>
              <w:contextualSpacing w:val="0"/>
            </w:pPr>
            <w:r>
              <w:t>Not discussed</w:t>
            </w:r>
          </w:p>
        </w:tc>
      </w:tr>
      <w:tr w:rsidR="00DD716E" w14:paraId="6DD4A651" w14:textId="77777777" w:rsidTr="007C3609">
        <w:tc>
          <w:tcPr>
            <w:tcW w:w="1090" w:type="dxa"/>
          </w:tcPr>
          <w:p w14:paraId="07A96C56" w14:textId="77777777" w:rsidR="00DD716E" w:rsidRDefault="00DD716E" w:rsidP="00693B59">
            <w:pPr>
              <w:pStyle w:val="ListParagraph"/>
              <w:spacing w:before="120"/>
              <w:ind w:left="0"/>
              <w:contextualSpacing w:val="0"/>
              <w:rPr>
                <w:b/>
              </w:rPr>
            </w:pPr>
            <w:r>
              <w:rPr>
                <w:b/>
              </w:rPr>
              <w:t>TB screening</w:t>
            </w:r>
          </w:p>
        </w:tc>
        <w:tc>
          <w:tcPr>
            <w:tcW w:w="2611" w:type="dxa"/>
          </w:tcPr>
          <w:p w14:paraId="09ADD259" w14:textId="28A3EBF3" w:rsidR="004672C6" w:rsidRPr="001571F6" w:rsidRDefault="00000756" w:rsidP="00693B59">
            <w:pPr>
              <w:pStyle w:val="ListParagraph"/>
              <w:spacing w:before="120"/>
              <w:ind w:left="0"/>
              <w:contextualSpacing w:val="0"/>
            </w:pPr>
            <w:r>
              <w:t>Results not available?</w:t>
            </w:r>
            <w:r w:rsidR="004672C6">
              <w:t xml:space="preserve"> </w:t>
            </w:r>
          </w:p>
        </w:tc>
        <w:tc>
          <w:tcPr>
            <w:tcW w:w="5559" w:type="dxa"/>
          </w:tcPr>
          <w:p w14:paraId="6C6B5CD1" w14:textId="0DAFD618" w:rsidR="00DD716E" w:rsidRPr="001571F6" w:rsidRDefault="008756F7" w:rsidP="00693B59">
            <w:pPr>
              <w:pStyle w:val="ListParagraph"/>
              <w:spacing w:before="120"/>
              <w:ind w:left="0"/>
              <w:contextualSpacing w:val="0"/>
            </w:pPr>
            <w:r>
              <w:t>Due to transition to e-tracker, result data will only be available in December 2017 as agreed with partners, incl. GF. No reliable reporting on this indicator until then.</w:t>
            </w:r>
          </w:p>
        </w:tc>
      </w:tr>
    </w:tbl>
    <w:p w14:paraId="17D85B23" w14:textId="382AEFB8" w:rsidR="007C3609" w:rsidRPr="00A56B8B" w:rsidRDefault="007C3609" w:rsidP="000811C0">
      <w:pPr>
        <w:pStyle w:val="ListParagraph"/>
        <w:numPr>
          <w:ilvl w:val="0"/>
          <w:numId w:val="2"/>
        </w:numPr>
        <w:spacing w:before="360" w:after="120"/>
        <w:contextualSpacing w:val="0"/>
        <w:jc w:val="both"/>
      </w:pPr>
      <w:r w:rsidRPr="007C3609">
        <w:rPr>
          <w:b/>
        </w:rPr>
        <w:t xml:space="preserve">Challenges expected during the next six months: </w:t>
      </w:r>
      <w:r w:rsidR="00A56B8B" w:rsidRPr="00A56B8B">
        <w:t xml:space="preserve">Challenges related to ANC registers. Malaria and FHD shall print and distribute their copies </w:t>
      </w:r>
      <w:proofErr w:type="gramStart"/>
      <w:r w:rsidR="00A56B8B" w:rsidRPr="00A56B8B">
        <w:t>asap</w:t>
      </w:r>
      <w:proofErr w:type="gramEnd"/>
      <w:r w:rsidR="00A56B8B" w:rsidRPr="00A56B8B">
        <w:t>.</w:t>
      </w:r>
      <w:r w:rsidR="00A56B8B">
        <w:t xml:space="preserve"> Formal letter from GHS to facilities on use of consolidated ANC registers. GF needs to release funds quickly so that targets can be achieved. </w:t>
      </w:r>
    </w:p>
    <w:p w14:paraId="11FD6AE3" w14:textId="77777777" w:rsidR="00167B82" w:rsidRDefault="00167B82" w:rsidP="000811C0">
      <w:pPr>
        <w:pStyle w:val="ListParagraph"/>
        <w:numPr>
          <w:ilvl w:val="0"/>
          <w:numId w:val="2"/>
        </w:numPr>
        <w:spacing w:before="360" w:after="120"/>
        <w:ind w:left="357" w:hanging="357"/>
        <w:contextualSpacing w:val="0"/>
        <w:jc w:val="both"/>
        <w:rPr>
          <w:b/>
        </w:rPr>
      </w:pPr>
      <w:r>
        <w:rPr>
          <w:b/>
        </w:rPr>
        <w:t>Recommendations:</w:t>
      </w:r>
    </w:p>
    <w:p w14:paraId="75F70712" w14:textId="65923F04" w:rsidR="002E3C52" w:rsidRDefault="00A56B8B" w:rsidP="000811C0">
      <w:pPr>
        <w:pStyle w:val="ListParagraph"/>
        <w:numPr>
          <w:ilvl w:val="0"/>
          <w:numId w:val="7"/>
        </w:numPr>
        <w:spacing w:after="0"/>
        <w:ind w:left="709"/>
        <w:contextualSpacing w:val="0"/>
        <w:jc w:val="both"/>
      </w:pPr>
      <w:r w:rsidRPr="00A56B8B">
        <w:t>NACP to put preparatory measures in place as much as possible</w:t>
      </w:r>
      <w:r w:rsidR="00DC1819" w:rsidRPr="00DC1819">
        <w:t xml:space="preserve"> </w:t>
      </w:r>
      <w:r w:rsidR="00DC1819">
        <w:t>for all activities that are expected to be implemented later this year (e.g. sample referral plan)</w:t>
      </w:r>
      <w:r w:rsidRPr="00A56B8B">
        <w:t xml:space="preserve">, so results improve until end of the year.  </w:t>
      </w:r>
    </w:p>
    <w:p w14:paraId="3C0BACFE" w14:textId="2CB5CF9E" w:rsidR="00E02193" w:rsidRDefault="00A56B8B" w:rsidP="000811C0">
      <w:pPr>
        <w:pStyle w:val="ListParagraph"/>
        <w:numPr>
          <w:ilvl w:val="0"/>
          <w:numId w:val="7"/>
        </w:numPr>
        <w:spacing w:after="0"/>
        <w:ind w:left="709"/>
        <w:contextualSpacing w:val="0"/>
        <w:jc w:val="both"/>
      </w:pPr>
      <w:r>
        <w:t>Review EID results for regions with 0 performance.</w:t>
      </w:r>
      <w:r w:rsidR="00DC1819">
        <w:t xml:space="preserve"> In future DB note in the comment section if reporting is incomplete. </w:t>
      </w:r>
    </w:p>
    <w:p w14:paraId="699C2D20" w14:textId="77777777" w:rsidR="00E02193" w:rsidRDefault="00E02193" w:rsidP="000811C0">
      <w:pPr>
        <w:pStyle w:val="ListParagraph"/>
        <w:numPr>
          <w:ilvl w:val="0"/>
          <w:numId w:val="7"/>
        </w:numPr>
        <w:spacing w:after="0"/>
        <w:ind w:left="709"/>
        <w:contextualSpacing w:val="0"/>
        <w:jc w:val="both"/>
      </w:pPr>
      <w:r>
        <w:t xml:space="preserve">CCM to follow up on disbursements. </w:t>
      </w:r>
    </w:p>
    <w:p w14:paraId="4FCEFE14" w14:textId="5C92D93E" w:rsidR="00A56B8B" w:rsidRPr="00A56B8B" w:rsidRDefault="00E02193" w:rsidP="000811C0">
      <w:pPr>
        <w:pStyle w:val="ListParagraph"/>
        <w:numPr>
          <w:ilvl w:val="0"/>
          <w:numId w:val="7"/>
        </w:numPr>
        <w:spacing w:after="0"/>
        <w:ind w:left="709"/>
        <w:contextualSpacing w:val="0"/>
        <w:jc w:val="both"/>
      </w:pPr>
      <w:r>
        <w:t>CCM to communicate the need of timely information on PPM savings to the GF</w:t>
      </w:r>
      <w:r w:rsidR="00A56B8B">
        <w:t xml:space="preserve"> </w:t>
      </w:r>
    </w:p>
    <w:p w14:paraId="31A5A5FA" w14:textId="3C72D688" w:rsidR="00375260" w:rsidRDefault="00F957F5" w:rsidP="000811C0">
      <w:pPr>
        <w:pStyle w:val="ListParagraph"/>
        <w:numPr>
          <w:ilvl w:val="0"/>
          <w:numId w:val="1"/>
        </w:numPr>
        <w:spacing w:before="360"/>
        <w:contextualSpacing w:val="0"/>
        <w:jc w:val="both"/>
        <w:rPr>
          <w:b/>
          <w:color w:val="C00000"/>
          <w:sz w:val="24"/>
          <w:szCs w:val="24"/>
        </w:rPr>
      </w:pPr>
      <w:r w:rsidRPr="007D3EA9">
        <w:rPr>
          <w:b/>
          <w:color w:val="C00000"/>
          <w:sz w:val="24"/>
          <w:szCs w:val="24"/>
        </w:rPr>
        <w:lastRenderedPageBreak/>
        <w:t>N</w:t>
      </w:r>
      <w:r w:rsidR="00B67870" w:rsidRPr="007D3EA9">
        <w:rPr>
          <w:b/>
          <w:color w:val="C00000"/>
          <w:sz w:val="24"/>
          <w:szCs w:val="24"/>
        </w:rPr>
        <w:t>T</w:t>
      </w:r>
      <w:r w:rsidRPr="007D3EA9">
        <w:rPr>
          <w:b/>
          <w:color w:val="C00000"/>
          <w:sz w:val="24"/>
          <w:szCs w:val="24"/>
        </w:rPr>
        <w:t>P Dash Board</w:t>
      </w:r>
    </w:p>
    <w:p w14:paraId="66582635" w14:textId="4CD9ECD2" w:rsidR="00AD0D3B" w:rsidRDefault="00AD0D3B" w:rsidP="000811C0">
      <w:pPr>
        <w:pStyle w:val="ListParagraph"/>
        <w:numPr>
          <w:ilvl w:val="0"/>
          <w:numId w:val="3"/>
        </w:numPr>
        <w:spacing w:after="120"/>
        <w:ind w:left="357" w:hanging="357"/>
        <w:contextualSpacing w:val="0"/>
        <w:jc w:val="both"/>
        <w:rPr>
          <w:b/>
        </w:rPr>
      </w:pPr>
      <w:r w:rsidRPr="00AD0D3B">
        <w:rPr>
          <w:b/>
        </w:rPr>
        <w:t xml:space="preserve">Follow up: </w:t>
      </w:r>
    </w:p>
    <w:p w14:paraId="14AFB969" w14:textId="77FF6D21" w:rsidR="00AD0D3B" w:rsidRPr="00C04259" w:rsidRDefault="00AD0D3B" w:rsidP="000811C0">
      <w:pPr>
        <w:pStyle w:val="ListParagraph"/>
        <w:numPr>
          <w:ilvl w:val="0"/>
          <w:numId w:val="14"/>
        </w:numPr>
        <w:spacing w:after="0"/>
        <w:contextualSpacing w:val="0"/>
        <w:jc w:val="both"/>
      </w:pPr>
      <w:r>
        <w:rPr>
          <w:b/>
        </w:rPr>
        <w:t>Challenges with changing clearing agent: need for the CCM to intervene?</w:t>
      </w:r>
      <w:r w:rsidR="00F90DEC">
        <w:rPr>
          <w:b/>
        </w:rPr>
        <w:t xml:space="preserve"> </w:t>
      </w:r>
      <w:r w:rsidR="00C04259" w:rsidRPr="00C04259">
        <w:t xml:space="preserve">Not yet. NTP will follow up with an official letter to CCM if </w:t>
      </w:r>
      <w:r w:rsidR="00F75063">
        <w:t xml:space="preserve">CCM intervention is desired. </w:t>
      </w:r>
    </w:p>
    <w:p w14:paraId="749234BD" w14:textId="016BB967" w:rsidR="00AD0D3B" w:rsidRPr="00F90DEC" w:rsidRDefault="00AD0D3B" w:rsidP="000811C0">
      <w:pPr>
        <w:pStyle w:val="ListParagraph"/>
        <w:numPr>
          <w:ilvl w:val="0"/>
          <w:numId w:val="14"/>
        </w:numPr>
        <w:spacing w:after="0"/>
        <w:contextualSpacing w:val="0"/>
        <w:jc w:val="both"/>
      </w:pPr>
      <w:r>
        <w:rPr>
          <w:b/>
        </w:rPr>
        <w:t xml:space="preserve">What is part of the TB package: what </w:t>
      </w:r>
      <w:r w:rsidR="005C40F1">
        <w:rPr>
          <w:b/>
        </w:rPr>
        <w:t>is offered</w:t>
      </w:r>
      <w:r>
        <w:rPr>
          <w:b/>
        </w:rPr>
        <w:t xml:space="preserve"> free of charge and what not?</w:t>
      </w:r>
      <w:r w:rsidR="00F90DEC">
        <w:rPr>
          <w:b/>
        </w:rPr>
        <w:t xml:space="preserve"> </w:t>
      </w:r>
      <w:r w:rsidR="00F90DEC" w:rsidRPr="00F90DEC">
        <w:t>Sputum test free.</w:t>
      </w:r>
      <w:r w:rsidR="00F90DEC">
        <w:rPr>
          <w:b/>
        </w:rPr>
        <w:t xml:space="preserve"> </w:t>
      </w:r>
      <w:r w:rsidR="00F90DEC" w:rsidRPr="00F90DEC">
        <w:t xml:space="preserve">GeneXpert free. Initial consultation payable. </w:t>
      </w:r>
      <w:r w:rsidR="00F90DEC">
        <w:t xml:space="preserve">X-rays usually payable unless X-ray provided by one the facilities </w:t>
      </w:r>
      <w:r w:rsidR="00EA578E">
        <w:t>that have those 48 digital x-rays</w:t>
      </w:r>
      <w:r w:rsidR="00F90DEC">
        <w:t xml:space="preserve">. </w:t>
      </w:r>
      <w:r w:rsidR="00EA578E">
        <w:t xml:space="preserve">Sputum transport will be put in place, so people will not have to move to facility with GeneXpert. </w:t>
      </w:r>
    </w:p>
    <w:p w14:paraId="1E740C17" w14:textId="1D4D0EB4" w:rsidR="005C40F1" w:rsidRDefault="005C40F1" w:rsidP="000811C0">
      <w:pPr>
        <w:pStyle w:val="ListParagraph"/>
        <w:numPr>
          <w:ilvl w:val="0"/>
          <w:numId w:val="14"/>
        </w:numPr>
        <w:spacing w:after="0"/>
        <w:contextualSpacing w:val="0"/>
        <w:jc w:val="both"/>
        <w:rPr>
          <w:b/>
        </w:rPr>
      </w:pPr>
      <w:r>
        <w:rPr>
          <w:b/>
        </w:rPr>
        <w:t>Status quo short course regimen:</w:t>
      </w:r>
      <w:r w:rsidR="00EA578E">
        <w:rPr>
          <w:b/>
        </w:rPr>
        <w:t xml:space="preserve"> </w:t>
      </w:r>
      <w:r w:rsidR="00EA578E" w:rsidRPr="00EA578E">
        <w:t>Approval from Green Light Committee</w:t>
      </w:r>
      <w:r w:rsidR="00F75063">
        <w:t xml:space="preserve"> / WHO</w:t>
      </w:r>
      <w:r w:rsidR="00EA578E" w:rsidRPr="00EA578E">
        <w:t xml:space="preserve">, currently </w:t>
      </w:r>
      <w:r w:rsidR="00F75063">
        <w:t>revision of documents/tools</w:t>
      </w:r>
      <w:r w:rsidR="00EA578E" w:rsidRPr="00EA578E">
        <w:t xml:space="preserve">. </w:t>
      </w:r>
      <w:r w:rsidR="00C04259">
        <w:t>Sep/</w:t>
      </w:r>
      <w:r w:rsidR="00EA578E" w:rsidRPr="00EA578E">
        <w:t>Oct: orientation for subscribers and start</w:t>
      </w:r>
    </w:p>
    <w:p w14:paraId="172555DC" w14:textId="0F5BB633" w:rsidR="00AD0D3B" w:rsidRPr="00EA578E" w:rsidRDefault="00AD0D3B" w:rsidP="000811C0">
      <w:pPr>
        <w:pStyle w:val="ListParagraph"/>
        <w:numPr>
          <w:ilvl w:val="0"/>
          <w:numId w:val="14"/>
        </w:numPr>
        <w:spacing w:after="120"/>
        <w:contextualSpacing w:val="0"/>
        <w:jc w:val="both"/>
      </w:pPr>
      <w:r>
        <w:rPr>
          <w:b/>
        </w:rPr>
        <w:t>Reprogramming request:</w:t>
      </w:r>
      <w:r w:rsidR="00EA578E">
        <w:rPr>
          <w:b/>
        </w:rPr>
        <w:t xml:space="preserve"> </w:t>
      </w:r>
      <w:r w:rsidR="00EA578E">
        <w:t>E</w:t>
      </w:r>
      <w:r w:rsidR="00EA578E" w:rsidRPr="00EA578E">
        <w:t>quipment add</w:t>
      </w:r>
      <w:r w:rsidR="00EA578E">
        <w:t>.</w:t>
      </w:r>
      <w:r w:rsidR="00EA578E" w:rsidRPr="00EA578E">
        <w:t xml:space="preserve"> GeneXpert and for MDR facility</w:t>
      </w:r>
      <w:r w:rsidR="00C5339F">
        <w:t xml:space="preserve"> CAD4</w:t>
      </w:r>
      <w:r w:rsidR="00EA578E">
        <w:t xml:space="preserve"> X</w:t>
      </w:r>
      <w:r w:rsidR="004B2B43">
        <w:t>-</w:t>
      </w:r>
      <w:r w:rsidR="00EA578E">
        <w:t xml:space="preserve">ray: assessment being done, docs submitted, waiting for approval. MDR facility </w:t>
      </w:r>
      <w:r w:rsidR="00F75063">
        <w:t xml:space="preserve">and vehicles </w:t>
      </w:r>
      <w:r w:rsidR="00EA578E">
        <w:t xml:space="preserve">not approved. Will not significantly affect achievement of E/2018 target. </w:t>
      </w:r>
    </w:p>
    <w:p w14:paraId="3ADD23B0" w14:textId="77777777" w:rsidR="00F957F5" w:rsidRDefault="00F957F5" w:rsidP="000811C0">
      <w:pPr>
        <w:pStyle w:val="ListParagraph"/>
        <w:numPr>
          <w:ilvl w:val="0"/>
          <w:numId w:val="3"/>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883"/>
        <w:gridCol w:w="2879"/>
        <w:gridCol w:w="4498"/>
      </w:tblGrid>
      <w:tr w:rsidR="00F1000E" w14:paraId="3AB16513" w14:textId="77777777" w:rsidTr="00F15F94">
        <w:tc>
          <w:tcPr>
            <w:tcW w:w="1883" w:type="dxa"/>
          </w:tcPr>
          <w:p w14:paraId="50AEF5CC" w14:textId="77777777" w:rsidR="00F1000E" w:rsidRDefault="00F1000E" w:rsidP="007461FA">
            <w:pPr>
              <w:pStyle w:val="ListParagraph"/>
              <w:spacing w:before="120"/>
              <w:ind w:left="0"/>
              <w:contextualSpacing w:val="0"/>
              <w:jc w:val="both"/>
              <w:rPr>
                <w:b/>
              </w:rPr>
            </w:pPr>
            <w:r>
              <w:rPr>
                <w:b/>
              </w:rPr>
              <w:t>Indicator</w:t>
            </w:r>
          </w:p>
        </w:tc>
        <w:tc>
          <w:tcPr>
            <w:tcW w:w="2879" w:type="dxa"/>
          </w:tcPr>
          <w:p w14:paraId="63186B4C" w14:textId="77777777" w:rsidR="00F1000E" w:rsidRDefault="00F1000E" w:rsidP="007461FA">
            <w:pPr>
              <w:pStyle w:val="ListParagraph"/>
              <w:spacing w:before="120"/>
              <w:ind w:left="0"/>
              <w:contextualSpacing w:val="0"/>
              <w:jc w:val="both"/>
              <w:rPr>
                <w:b/>
              </w:rPr>
            </w:pPr>
            <w:r>
              <w:rPr>
                <w:b/>
              </w:rPr>
              <w:t xml:space="preserve">Observation </w:t>
            </w:r>
          </w:p>
        </w:tc>
        <w:tc>
          <w:tcPr>
            <w:tcW w:w="4498" w:type="dxa"/>
          </w:tcPr>
          <w:p w14:paraId="3AD93ACC" w14:textId="77777777" w:rsidR="00F1000E" w:rsidRDefault="00F1000E" w:rsidP="007461FA">
            <w:pPr>
              <w:pStyle w:val="ListParagraph"/>
              <w:spacing w:before="120"/>
              <w:ind w:left="0"/>
              <w:contextualSpacing w:val="0"/>
              <w:jc w:val="both"/>
              <w:rPr>
                <w:b/>
              </w:rPr>
            </w:pPr>
            <w:r>
              <w:rPr>
                <w:b/>
              </w:rPr>
              <w:t xml:space="preserve">Answer / Decision </w:t>
            </w:r>
          </w:p>
        </w:tc>
      </w:tr>
      <w:tr w:rsidR="00F1000E" w14:paraId="5C319894" w14:textId="77777777" w:rsidTr="00F15F94">
        <w:tc>
          <w:tcPr>
            <w:tcW w:w="1883" w:type="dxa"/>
          </w:tcPr>
          <w:p w14:paraId="427F4FE3" w14:textId="77777777" w:rsidR="00F1000E" w:rsidRDefault="00F1000E" w:rsidP="007461FA">
            <w:pPr>
              <w:pStyle w:val="ListParagraph"/>
              <w:spacing w:before="120"/>
              <w:ind w:left="0"/>
              <w:contextualSpacing w:val="0"/>
              <w:jc w:val="both"/>
              <w:rPr>
                <w:b/>
              </w:rPr>
            </w:pPr>
            <w:r>
              <w:rPr>
                <w:b/>
              </w:rPr>
              <w:t>Absorption rate</w:t>
            </w:r>
          </w:p>
        </w:tc>
        <w:tc>
          <w:tcPr>
            <w:tcW w:w="2879" w:type="dxa"/>
          </w:tcPr>
          <w:p w14:paraId="44288CBB" w14:textId="4CFE0F6F" w:rsidR="00F1000E" w:rsidRDefault="00181C1B" w:rsidP="00A6749D">
            <w:pPr>
              <w:pStyle w:val="ListParagraph"/>
              <w:spacing w:before="120"/>
              <w:ind w:left="0"/>
              <w:contextualSpacing w:val="0"/>
            </w:pPr>
            <w:r>
              <w:t xml:space="preserve">78% </w:t>
            </w:r>
            <w:r w:rsidR="00B46F57">
              <w:t>cum burn rate</w:t>
            </w:r>
            <w:r>
              <w:t>, 79% quarterly burn rate</w:t>
            </w:r>
          </w:p>
          <w:p w14:paraId="292883F8" w14:textId="6F7271BE" w:rsidR="00181C1B" w:rsidRPr="001571F6" w:rsidRDefault="00C04259" w:rsidP="00A6749D">
            <w:pPr>
              <w:pStyle w:val="ListParagraph"/>
              <w:spacing w:before="120"/>
              <w:ind w:left="0"/>
              <w:contextualSpacing w:val="0"/>
            </w:pPr>
            <w:r>
              <w:t xml:space="preserve">Disbursement rate 79%. Challenges for grant implementation? </w:t>
            </w:r>
          </w:p>
        </w:tc>
        <w:tc>
          <w:tcPr>
            <w:tcW w:w="4498" w:type="dxa"/>
          </w:tcPr>
          <w:p w14:paraId="125B8608" w14:textId="0C5EBD2E" w:rsidR="00F1000E" w:rsidRPr="001571F6" w:rsidRDefault="00C04259" w:rsidP="00C04259">
            <w:pPr>
              <w:pStyle w:val="ListParagraph"/>
              <w:spacing w:before="120"/>
              <w:ind w:left="0"/>
              <w:contextualSpacing w:val="0"/>
            </w:pPr>
            <w:r>
              <w:t xml:space="preserve">Disbursement rate did not impact on Q1 burn rate. Usually not enough funds in bank account, last 5-6 months, have to ask for a top up. New request necessary. NTP requested </w:t>
            </w:r>
            <w:r w:rsidR="00C5339F">
              <w:t xml:space="preserve">the annual amount of </w:t>
            </w:r>
            <w:r>
              <w:t>14m but GF gave only 1.5m. NTP disagrees with analysis of the GF. Cash available in the country is rather concentrated in the regions but not available</w:t>
            </w:r>
            <w:r w:rsidR="00C5339F">
              <w:t xml:space="preserve"> to be spent by NTP</w:t>
            </w:r>
            <w:r>
              <w:t xml:space="preserve">. </w:t>
            </w:r>
          </w:p>
        </w:tc>
      </w:tr>
      <w:tr w:rsidR="00F1000E" w14:paraId="217B5862" w14:textId="77777777" w:rsidTr="00F15F94">
        <w:tc>
          <w:tcPr>
            <w:tcW w:w="1883" w:type="dxa"/>
          </w:tcPr>
          <w:p w14:paraId="75B73E07" w14:textId="77777777" w:rsidR="00F1000E" w:rsidRDefault="00F1000E" w:rsidP="007461FA">
            <w:pPr>
              <w:pStyle w:val="ListParagraph"/>
              <w:spacing w:before="120"/>
              <w:ind w:left="0"/>
              <w:contextualSpacing w:val="0"/>
              <w:jc w:val="both"/>
              <w:rPr>
                <w:b/>
              </w:rPr>
            </w:pPr>
            <w:r>
              <w:rPr>
                <w:b/>
              </w:rPr>
              <w:t>Disaggregated absorption rate by grant objective</w:t>
            </w:r>
          </w:p>
        </w:tc>
        <w:tc>
          <w:tcPr>
            <w:tcW w:w="2879" w:type="dxa"/>
          </w:tcPr>
          <w:p w14:paraId="7C893CF1" w14:textId="65B9FE9E" w:rsidR="00B46F57" w:rsidRPr="001571F6" w:rsidRDefault="00966385" w:rsidP="00966385">
            <w:pPr>
              <w:pStyle w:val="ListParagraph"/>
              <w:ind w:left="0"/>
              <w:contextualSpacing w:val="0"/>
            </w:pPr>
            <w:r>
              <w:t>TB care = 75%</w:t>
            </w:r>
            <w:r w:rsidR="00181C1B">
              <w:t xml:space="preserve"> (cum) but </w:t>
            </w:r>
            <w:proofErr w:type="spellStart"/>
            <w:r w:rsidR="00181C1B">
              <w:t>progr</w:t>
            </w:r>
            <w:proofErr w:type="spellEnd"/>
            <w:r w:rsidR="00181C1B">
              <w:t xml:space="preserve">. </w:t>
            </w:r>
            <w:proofErr w:type="gramStart"/>
            <w:r w:rsidR="00181C1B">
              <w:t>target</w:t>
            </w:r>
            <w:proofErr w:type="gramEnd"/>
            <w:r w:rsidR="00181C1B">
              <w:t xml:space="preserve"> achievement only at </w:t>
            </w:r>
            <w:r>
              <w:t>55</w:t>
            </w:r>
            <w:r w:rsidR="00181C1B">
              <w:t>%. Are our interventions too expensive?</w:t>
            </w:r>
            <w:r>
              <w:t xml:space="preserve"> (for MDR-TB = match)</w:t>
            </w:r>
            <w:r w:rsidR="00181C1B">
              <w:t xml:space="preserve"> </w:t>
            </w:r>
          </w:p>
        </w:tc>
        <w:tc>
          <w:tcPr>
            <w:tcW w:w="4498" w:type="dxa"/>
          </w:tcPr>
          <w:p w14:paraId="37F3DD3E" w14:textId="0E7929F0" w:rsidR="00F1000E" w:rsidRPr="001571F6" w:rsidRDefault="004B2B43" w:rsidP="007461FA">
            <w:pPr>
              <w:pStyle w:val="ListParagraph"/>
              <w:spacing w:before="120"/>
              <w:ind w:left="0"/>
              <w:contextualSpacing w:val="0"/>
              <w:jc w:val="both"/>
            </w:pPr>
            <w:r>
              <w:t>Not discussed</w:t>
            </w:r>
          </w:p>
        </w:tc>
      </w:tr>
      <w:tr w:rsidR="00F15F94" w14:paraId="19AF6912" w14:textId="77777777" w:rsidTr="00F15F94">
        <w:tc>
          <w:tcPr>
            <w:tcW w:w="1883" w:type="dxa"/>
          </w:tcPr>
          <w:p w14:paraId="3B48D4AF" w14:textId="77777777" w:rsidR="00F15F94" w:rsidRDefault="00F15F94" w:rsidP="00AA23C2">
            <w:pPr>
              <w:pStyle w:val="ListParagraph"/>
              <w:spacing w:before="120"/>
              <w:ind w:left="0"/>
              <w:contextualSpacing w:val="0"/>
              <w:jc w:val="both"/>
              <w:rPr>
                <w:b/>
              </w:rPr>
            </w:pPr>
            <w:r>
              <w:rPr>
                <w:b/>
              </w:rPr>
              <w:t>Disaggregated absorption rate by SR</w:t>
            </w:r>
          </w:p>
        </w:tc>
        <w:tc>
          <w:tcPr>
            <w:tcW w:w="2879" w:type="dxa"/>
          </w:tcPr>
          <w:p w14:paraId="74142280" w14:textId="0BBC1820" w:rsidR="00F15F94" w:rsidRPr="001571F6" w:rsidRDefault="002B359E" w:rsidP="00AA23C2">
            <w:pPr>
              <w:pStyle w:val="ListParagraph"/>
              <w:spacing w:before="120"/>
              <w:ind w:left="0"/>
              <w:contextualSpacing w:val="0"/>
            </w:pPr>
            <w:r>
              <w:t xml:space="preserve">No regional expenditures? </w:t>
            </w:r>
          </w:p>
        </w:tc>
        <w:tc>
          <w:tcPr>
            <w:tcW w:w="4498" w:type="dxa"/>
          </w:tcPr>
          <w:p w14:paraId="437C7C0A" w14:textId="5903DC55" w:rsidR="00F15F94" w:rsidRPr="001571F6" w:rsidRDefault="004B2B43" w:rsidP="00AA23C2">
            <w:pPr>
              <w:pStyle w:val="ListParagraph"/>
              <w:spacing w:before="120"/>
              <w:ind w:left="0"/>
              <w:contextualSpacing w:val="0"/>
              <w:jc w:val="both"/>
            </w:pPr>
            <w:r>
              <w:t>Not discussed</w:t>
            </w:r>
          </w:p>
        </w:tc>
      </w:tr>
    </w:tbl>
    <w:p w14:paraId="13FA7EAC" w14:textId="77777777" w:rsidR="00F1000E" w:rsidRPr="00962157" w:rsidRDefault="00F1000E" w:rsidP="00F1000E">
      <w:pPr>
        <w:pStyle w:val="ListParagraph"/>
        <w:spacing w:after="120"/>
        <w:ind w:left="357"/>
        <w:contextualSpacing w:val="0"/>
        <w:jc w:val="both"/>
        <w:rPr>
          <w:b/>
        </w:rPr>
      </w:pPr>
    </w:p>
    <w:p w14:paraId="0BDA4283" w14:textId="29E2C9FA" w:rsidR="00F957F5" w:rsidRDefault="00F957F5" w:rsidP="000811C0">
      <w:pPr>
        <w:pStyle w:val="ListParagraph"/>
        <w:numPr>
          <w:ilvl w:val="0"/>
          <w:numId w:val="3"/>
        </w:numPr>
        <w:spacing w:before="360" w:after="120"/>
        <w:ind w:left="357" w:hanging="357"/>
        <w:contextualSpacing w:val="0"/>
        <w:jc w:val="both"/>
        <w:rPr>
          <w:b/>
        </w:rPr>
      </w:pPr>
      <w:r w:rsidRPr="007D6E1C">
        <w:rPr>
          <w:b/>
        </w:rPr>
        <w:t>Management Indicators:</w:t>
      </w:r>
      <w:r w:rsidR="002A3B44">
        <w:rPr>
          <w:b/>
        </w:rPr>
        <w:t xml:space="preserve"> </w:t>
      </w:r>
    </w:p>
    <w:tbl>
      <w:tblPr>
        <w:tblStyle w:val="TableGrid"/>
        <w:tblW w:w="0" w:type="auto"/>
        <w:tblInd w:w="357" w:type="dxa"/>
        <w:tblLook w:val="04A0" w:firstRow="1" w:lastRow="0" w:firstColumn="1" w:lastColumn="0" w:noHBand="0" w:noVBand="1"/>
      </w:tblPr>
      <w:tblGrid>
        <w:gridCol w:w="1404"/>
        <w:gridCol w:w="2541"/>
        <w:gridCol w:w="5315"/>
      </w:tblGrid>
      <w:tr w:rsidR="00F15F94" w14:paraId="64F6FB51" w14:textId="77777777" w:rsidTr="002B359E">
        <w:tc>
          <w:tcPr>
            <w:tcW w:w="1404" w:type="dxa"/>
          </w:tcPr>
          <w:p w14:paraId="3B1B7914" w14:textId="77777777" w:rsidR="00F15F94" w:rsidRDefault="00F15F94" w:rsidP="00AA23C2">
            <w:pPr>
              <w:pStyle w:val="ListParagraph"/>
              <w:spacing w:before="120"/>
              <w:ind w:left="0"/>
              <w:contextualSpacing w:val="0"/>
              <w:jc w:val="both"/>
              <w:rPr>
                <w:b/>
              </w:rPr>
            </w:pPr>
            <w:r>
              <w:rPr>
                <w:b/>
              </w:rPr>
              <w:t>Indicator</w:t>
            </w:r>
          </w:p>
        </w:tc>
        <w:tc>
          <w:tcPr>
            <w:tcW w:w="2541" w:type="dxa"/>
          </w:tcPr>
          <w:p w14:paraId="2800C5B7" w14:textId="77777777" w:rsidR="00F15F94" w:rsidRDefault="00F15F94" w:rsidP="00AA23C2">
            <w:pPr>
              <w:pStyle w:val="ListParagraph"/>
              <w:spacing w:before="120"/>
              <w:ind w:left="0"/>
              <w:contextualSpacing w:val="0"/>
              <w:jc w:val="both"/>
              <w:rPr>
                <w:b/>
              </w:rPr>
            </w:pPr>
            <w:r>
              <w:rPr>
                <w:b/>
              </w:rPr>
              <w:t xml:space="preserve">Observation  </w:t>
            </w:r>
          </w:p>
        </w:tc>
        <w:tc>
          <w:tcPr>
            <w:tcW w:w="5315" w:type="dxa"/>
          </w:tcPr>
          <w:p w14:paraId="40ADC1F7" w14:textId="77777777" w:rsidR="00F15F94" w:rsidRDefault="00F15F94" w:rsidP="00AA23C2">
            <w:pPr>
              <w:pStyle w:val="ListParagraph"/>
              <w:spacing w:before="120"/>
              <w:ind w:left="0"/>
              <w:contextualSpacing w:val="0"/>
              <w:jc w:val="both"/>
              <w:rPr>
                <w:b/>
              </w:rPr>
            </w:pPr>
            <w:r>
              <w:rPr>
                <w:b/>
              </w:rPr>
              <w:t xml:space="preserve">Answer / Decision </w:t>
            </w:r>
          </w:p>
        </w:tc>
      </w:tr>
      <w:tr w:rsidR="00F15F94" w14:paraId="45D93105" w14:textId="77777777" w:rsidTr="002B359E">
        <w:trPr>
          <w:trHeight w:val="558"/>
        </w:trPr>
        <w:tc>
          <w:tcPr>
            <w:tcW w:w="1404" w:type="dxa"/>
          </w:tcPr>
          <w:p w14:paraId="59862D1F" w14:textId="77777777" w:rsidR="00F15F94" w:rsidRDefault="00F15F94" w:rsidP="00AA23C2">
            <w:pPr>
              <w:pStyle w:val="ListParagraph"/>
              <w:spacing w:before="120"/>
              <w:ind w:left="0"/>
              <w:contextualSpacing w:val="0"/>
              <w:rPr>
                <w:b/>
              </w:rPr>
            </w:pPr>
            <w:r>
              <w:rPr>
                <w:b/>
              </w:rPr>
              <w:t>Availability of commodities</w:t>
            </w:r>
          </w:p>
        </w:tc>
        <w:tc>
          <w:tcPr>
            <w:tcW w:w="2541" w:type="dxa"/>
          </w:tcPr>
          <w:p w14:paraId="2E016537" w14:textId="77777777" w:rsidR="002B359E" w:rsidRDefault="002B359E" w:rsidP="002B359E">
            <w:pPr>
              <w:pStyle w:val="PlainText"/>
            </w:pPr>
            <w:r>
              <w:t xml:space="preserve">Stock status report: hardly any stock of pediatric meds in the RMS. </w:t>
            </w:r>
          </w:p>
          <w:p w14:paraId="4DE19172" w14:textId="77777777" w:rsidR="002B359E" w:rsidRDefault="002B359E" w:rsidP="002B359E">
            <w:pPr>
              <w:pStyle w:val="PlainText"/>
            </w:pPr>
          </w:p>
          <w:p w14:paraId="0B7DF254" w14:textId="45C02274" w:rsidR="00F15F94" w:rsidRPr="001571F6" w:rsidRDefault="002B359E" w:rsidP="002B359E">
            <w:pPr>
              <w:pStyle w:val="PlainText"/>
            </w:pPr>
            <w:r>
              <w:t>DB: no district faced a stock out at all – correct?</w:t>
            </w:r>
          </w:p>
        </w:tc>
        <w:tc>
          <w:tcPr>
            <w:tcW w:w="5315" w:type="dxa"/>
          </w:tcPr>
          <w:p w14:paraId="298C5100" w14:textId="77777777" w:rsidR="00F15F94" w:rsidRDefault="00C04259" w:rsidP="00C04259">
            <w:pPr>
              <w:pStyle w:val="ListParagraph"/>
              <w:spacing w:before="120"/>
              <w:ind w:left="0"/>
              <w:contextualSpacing w:val="0"/>
            </w:pPr>
            <w:r>
              <w:t xml:space="preserve">Very low stock levels. Challenges with timely clearance of commodities. Risk of having to pay demurrage, lots of stock stuck at the port. </w:t>
            </w:r>
          </w:p>
          <w:p w14:paraId="070C24D3" w14:textId="77777777" w:rsidR="00C5339F" w:rsidRDefault="00C5339F" w:rsidP="00C04259">
            <w:pPr>
              <w:pStyle w:val="ListParagraph"/>
              <w:spacing w:before="120"/>
              <w:ind w:left="0"/>
              <w:contextualSpacing w:val="0"/>
            </w:pPr>
          </w:p>
          <w:p w14:paraId="79C641DA" w14:textId="54396A66" w:rsidR="00C5339F" w:rsidRPr="001571F6" w:rsidRDefault="00C5339F" w:rsidP="00C04259">
            <w:pPr>
              <w:pStyle w:val="ListParagraph"/>
              <w:spacing w:before="120"/>
              <w:ind w:left="0"/>
              <w:contextualSpacing w:val="0"/>
            </w:pPr>
          </w:p>
        </w:tc>
      </w:tr>
    </w:tbl>
    <w:p w14:paraId="0428A0C5" w14:textId="77777777" w:rsidR="004B2B43" w:rsidRPr="004B2B43" w:rsidRDefault="004B2B43" w:rsidP="004B2B43">
      <w:pPr>
        <w:spacing w:before="360" w:after="120"/>
        <w:jc w:val="both"/>
        <w:rPr>
          <w:color w:val="000000" w:themeColor="text1"/>
        </w:rPr>
      </w:pPr>
    </w:p>
    <w:p w14:paraId="2D5E9A8A" w14:textId="77777777" w:rsidR="00F957F5" w:rsidRDefault="00F957F5" w:rsidP="000811C0">
      <w:pPr>
        <w:pStyle w:val="ListParagraph"/>
        <w:numPr>
          <w:ilvl w:val="0"/>
          <w:numId w:val="3"/>
        </w:numPr>
        <w:spacing w:before="360" w:after="120"/>
        <w:ind w:left="357" w:hanging="357"/>
        <w:contextualSpacing w:val="0"/>
        <w:jc w:val="both"/>
        <w:rPr>
          <w:color w:val="000000" w:themeColor="text1"/>
        </w:rPr>
      </w:pPr>
      <w:r w:rsidRPr="00C75836">
        <w:rPr>
          <w:b/>
          <w:color w:val="000000" w:themeColor="text1"/>
        </w:rPr>
        <w:lastRenderedPageBreak/>
        <w:t>Programmatic Indicators:</w:t>
      </w:r>
      <w:r w:rsidR="00412F3B">
        <w:rPr>
          <w:color w:val="000000" w:themeColor="text1"/>
        </w:rPr>
        <w:t xml:space="preserve"> </w:t>
      </w:r>
      <w:r w:rsidR="00390D44">
        <w:rPr>
          <w:color w:val="000000" w:themeColor="text1"/>
        </w:rPr>
        <w:t xml:space="preserve"> </w:t>
      </w:r>
    </w:p>
    <w:tbl>
      <w:tblPr>
        <w:tblStyle w:val="TableGrid"/>
        <w:tblW w:w="0" w:type="auto"/>
        <w:tblInd w:w="357" w:type="dxa"/>
        <w:tblLook w:val="04A0" w:firstRow="1" w:lastRow="0" w:firstColumn="1" w:lastColumn="0" w:noHBand="0" w:noVBand="1"/>
      </w:tblPr>
      <w:tblGrid>
        <w:gridCol w:w="1668"/>
        <w:gridCol w:w="2368"/>
        <w:gridCol w:w="5224"/>
      </w:tblGrid>
      <w:tr w:rsidR="00524993" w14:paraId="0A2D1BBC" w14:textId="77777777" w:rsidTr="00242DCA">
        <w:trPr>
          <w:cantSplit/>
          <w:tblHeader/>
        </w:trPr>
        <w:tc>
          <w:tcPr>
            <w:tcW w:w="1668" w:type="dxa"/>
          </w:tcPr>
          <w:p w14:paraId="215B7661" w14:textId="77777777" w:rsidR="00390D44" w:rsidRDefault="00390D44" w:rsidP="00693B59">
            <w:pPr>
              <w:pStyle w:val="ListParagraph"/>
              <w:spacing w:before="120"/>
              <w:ind w:left="0"/>
              <w:contextualSpacing w:val="0"/>
              <w:jc w:val="both"/>
              <w:rPr>
                <w:b/>
              </w:rPr>
            </w:pPr>
            <w:r>
              <w:rPr>
                <w:b/>
              </w:rPr>
              <w:t>Indicator</w:t>
            </w:r>
          </w:p>
        </w:tc>
        <w:tc>
          <w:tcPr>
            <w:tcW w:w="2368" w:type="dxa"/>
          </w:tcPr>
          <w:p w14:paraId="4CD91D56" w14:textId="77777777" w:rsidR="00390D44" w:rsidRDefault="00390D44" w:rsidP="00693B59">
            <w:pPr>
              <w:pStyle w:val="ListParagraph"/>
              <w:spacing w:before="120"/>
              <w:ind w:left="0"/>
              <w:contextualSpacing w:val="0"/>
              <w:jc w:val="both"/>
              <w:rPr>
                <w:b/>
              </w:rPr>
            </w:pPr>
            <w:r>
              <w:rPr>
                <w:b/>
              </w:rPr>
              <w:t xml:space="preserve">Observation  </w:t>
            </w:r>
          </w:p>
        </w:tc>
        <w:tc>
          <w:tcPr>
            <w:tcW w:w="5224" w:type="dxa"/>
          </w:tcPr>
          <w:p w14:paraId="40474BA0" w14:textId="77777777" w:rsidR="00390D44" w:rsidRDefault="00390D44" w:rsidP="00693B59">
            <w:pPr>
              <w:pStyle w:val="ListParagraph"/>
              <w:spacing w:before="120"/>
              <w:ind w:left="0"/>
              <w:contextualSpacing w:val="0"/>
              <w:jc w:val="both"/>
              <w:rPr>
                <w:b/>
              </w:rPr>
            </w:pPr>
            <w:r>
              <w:rPr>
                <w:b/>
              </w:rPr>
              <w:t xml:space="preserve">Answer / Decision </w:t>
            </w:r>
          </w:p>
        </w:tc>
      </w:tr>
      <w:tr w:rsidR="00524993" w14:paraId="2D534E9B" w14:textId="77777777" w:rsidTr="00287DC3">
        <w:trPr>
          <w:trHeight w:val="558"/>
        </w:trPr>
        <w:tc>
          <w:tcPr>
            <w:tcW w:w="1668" w:type="dxa"/>
          </w:tcPr>
          <w:p w14:paraId="7F8DB045" w14:textId="77777777" w:rsidR="00390D44" w:rsidRPr="00F44C73" w:rsidRDefault="00390D44" w:rsidP="00693B59">
            <w:pPr>
              <w:pStyle w:val="ListParagraph"/>
              <w:spacing w:before="120"/>
              <w:ind w:left="0"/>
              <w:contextualSpacing w:val="0"/>
              <w:rPr>
                <w:b/>
              </w:rPr>
            </w:pPr>
            <w:r>
              <w:rPr>
                <w:b/>
              </w:rPr>
              <w:t># notified cases all</w:t>
            </w:r>
          </w:p>
        </w:tc>
        <w:tc>
          <w:tcPr>
            <w:tcW w:w="2368" w:type="dxa"/>
          </w:tcPr>
          <w:p w14:paraId="1B268D65" w14:textId="7AAD2A83" w:rsidR="00390D44" w:rsidRDefault="002B359E" w:rsidP="006237BF">
            <w:pPr>
              <w:pStyle w:val="ListParagraph"/>
              <w:spacing w:before="120"/>
              <w:ind w:left="34"/>
            </w:pPr>
            <w:r>
              <w:t>52</w:t>
            </w:r>
            <w:r w:rsidR="000F00F3">
              <w:t>%</w:t>
            </w:r>
            <w:r>
              <w:t xml:space="preserve"> but </w:t>
            </w:r>
            <w:r w:rsidR="006237BF">
              <w:t xml:space="preserve">higher </w:t>
            </w:r>
            <w:r>
              <w:t xml:space="preserve">target </w:t>
            </w:r>
            <w:r w:rsidR="006237BF">
              <w:t>in 2017</w:t>
            </w:r>
            <w:r>
              <w:t xml:space="preserve">. </w:t>
            </w:r>
            <w:r w:rsidR="008F55DF">
              <w:t>However, with all efforts in place for the past year</w:t>
            </w:r>
            <w:r w:rsidR="006237BF">
              <w:t xml:space="preserve">, </w:t>
            </w:r>
            <w:r w:rsidR="008F55DF">
              <w:t xml:space="preserve">less cases diagnosed than in Q1/2016. </w:t>
            </w:r>
            <w:r w:rsidR="006237BF">
              <w:t>Same for r</w:t>
            </w:r>
            <w:r w:rsidR="008F55DF">
              <w:t>es</w:t>
            </w:r>
            <w:r w:rsidR="006237BF">
              <w:t>ults in the past three quarters</w:t>
            </w:r>
            <w:r w:rsidR="008F55DF">
              <w:t xml:space="preserve">. </w:t>
            </w:r>
            <w:r w:rsidR="006237BF">
              <w:t>Recommendations from Dec. meeting have not resulted in higher impact.</w:t>
            </w:r>
          </w:p>
          <w:p w14:paraId="1FEB68FF" w14:textId="77777777" w:rsidR="006237BF" w:rsidRDefault="006237BF" w:rsidP="006237BF">
            <w:pPr>
              <w:pStyle w:val="ListParagraph"/>
              <w:spacing w:before="120"/>
              <w:ind w:left="34"/>
            </w:pPr>
          </w:p>
          <w:p w14:paraId="79B03103" w14:textId="49EFAC9F" w:rsidR="006237BF" w:rsidRPr="001571F6" w:rsidRDefault="006237BF" w:rsidP="006237BF">
            <w:pPr>
              <w:pStyle w:val="ListParagraph"/>
              <w:spacing w:before="120"/>
              <w:ind w:left="34"/>
            </w:pPr>
          </w:p>
        </w:tc>
        <w:tc>
          <w:tcPr>
            <w:tcW w:w="5224" w:type="dxa"/>
          </w:tcPr>
          <w:p w14:paraId="41E77CE4" w14:textId="6A4E65F5" w:rsidR="00524993" w:rsidRDefault="00EA578E" w:rsidP="006237BF">
            <w:pPr>
              <w:pStyle w:val="ListParagraph"/>
              <w:spacing w:before="120"/>
              <w:ind w:left="0"/>
              <w:contextualSpacing w:val="0"/>
            </w:pPr>
            <w:r>
              <w:t>A</w:t>
            </w:r>
            <w:r w:rsidR="00134AC8">
              <w:t>bout 50%</w:t>
            </w:r>
            <w:r>
              <w:t xml:space="preserve"> of patients with presumed TB identified through ICF not tested. 99 Task shifting officers. Patients shall be accompanied to lab to provide sample. Hopes on targeted supervision. E/June: comprehensive analysis planned. Revised algorithm for facilities to ensure that presumed cased are not missed. </w:t>
            </w:r>
            <w:r w:rsidR="006A66DE">
              <w:t xml:space="preserve">Plan for 2017 to improve testing rate from 50% to 70%. </w:t>
            </w:r>
          </w:p>
          <w:p w14:paraId="2293267B" w14:textId="19278CD1" w:rsidR="00134AC8" w:rsidRDefault="00134AC8" w:rsidP="006237BF">
            <w:pPr>
              <w:pStyle w:val="ListParagraph"/>
              <w:spacing w:before="120"/>
              <w:ind w:left="0"/>
              <w:contextualSpacing w:val="0"/>
            </w:pPr>
            <w:r>
              <w:t>Targets were set for every district. ICF only done at district hospital level, not at lower levels. Many cases may be missed especially at rural level</w:t>
            </w:r>
            <w:r w:rsidR="006A66DE">
              <w:t xml:space="preserve"> – </w:t>
            </w:r>
            <w:r w:rsidR="004B2B43">
              <w:t xml:space="preserve">rural coverage </w:t>
            </w:r>
            <w:r w:rsidR="006A66DE">
              <w:t>plan</w:t>
            </w:r>
            <w:r w:rsidR="004B2B43">
              <w:t>ned</w:t>
            </w:r>
            <w:r w:rsidR="006A66DE">
              <w:t xml:space="preserve"> for 2018 and beyond</w:t>
            </w:r>
            <w:r>
              <w:t xml:space="preserve">. Plans for sputum transport to GeneXpert sites. </w:t>
            </w:r>
          </w:p>
          <w:p w14:paraId="1C9E3EA3" w14:textId="6B4E1C52" w:rsidR="00EA578E" w:rsidRDefault="002C3E12" w:rsidP="006237BF">
            <w:pPr>
              <w:pStyle w:val="ListParagraph"/>
              <w:spacing w:before="120"/>
              <w:ind w:left="0"/>
              <w:contextualSpacing w:val="0"/>
            </w:pPr>
            <w:r>
              <w:t xml:space="preserve">ANC screen for TB currently. NTP will also print ANC registers. NTP </w:t>
            </w:r>
            <w:r w:rsidR="00C5339F">
              <w:t xml:space="preserve">is </w:t>
            </w:r>
            <w:r>
              <w:t xml:space="preserve">reminded that additional registers are urgently needed. </w:t>
            </w:r>
          </w:p>
          <w:p w14:paraId="4FB4715B" w14:textId="77777777" w:rsidR="00EA578E" w:rsidRDefault="002C3E12" w:rsidP="002C3E12">
            <w:pPr>
              <w:pStyle w:val="ListParagraph"/>
              <w:spacing w:before="120"/>
              <w:ind w:left="0"/>
              <w:contextualSpacing w:val="0"/>
            </w:pPr>
            <w:r>
              <w:t xml:space="preserve">TB screening for prison inmates has not been effective. NTP takes care of it now themselves. Outreach screening of small scale minors had to be </w:t>
            </w:r>
            <w:r w:rsidR="00180BD6">
              <w:t>discontinued due to anti-</w:t>
            </w:r>
            <w:proofErr w:type="spellStart"/>
            <w:r w:rsidR="00180BD6">
              <w:t>galamsey</w:t>
            </w:r>
            <w:proofErr w:type="spellEnd"/>
            <w:r w:rsidR="00180BD6">
              <w:t xml:space="preserve"> campaign. Proposal to incorporate TB screening in KP intervention package. </w:t>
            </w:r>
          </w:p>
          <w:p w14:paraId="71322F73" w14:textId="2DD01049" w:rsidR="00C04259" w:rsidRPr="001571F6" w:rsidRDefault="00C5339F" w:rsidP="002C3E12">
            <w:pPr>
              <w:pStyle w:val="ListParagraph"/>
              <w:spacing w:before="120"/>
              <w:ind w:left="0"/>
              <w:contextualSpacing w:val="0"/>
            </w:pPr>
            <w:r>
              <w:t xml:space="preserve">The </w:t>
            </w:r>
            <w:r w:rsidR="00C04259">
              <w:t>OC feels that</w:t>
            </w:r>
            <w:r>
              <w:t xml:space="preserve"> ICF at district level hospitals is largely insufficient and that much more needs to be done at community level, possibly in collaboration with NGOs. </w:t>
            </w:r>
            <w:r w:rsidR="00C04259">
              <w:t xml:space="preserve"> </w:t>
            </w:r>
          </w:p>
        </w:tc>
      </w:tr>
      <w:tr w:rsidR="00524993" w14:paraId="6AE59B83" w14:textId="77777777" w:rsidTr="00287DC3">
        <w:trPr>
          <w:trHeight w:val="558"/>
        </w:trPr>
        <w:tc>
          <w:tcPr>
            <w:tcW w:w="1668" w:type="dxa"/>
          </w:tcPr>
          <w:p w14:paraId="6FFB65A6" w14:textId="68AEFFF5" w:rsidR="00390D44" w:rsidRPr="00F44C73" w:rsidRDefault="00390D44" w:rsidP="00693B59">
            <w:pPr>
              <w:pStyle w:val="ListParagraph"/>
              <w:spacing w:before="120"/>
              <w:ind w:left="0"/>
              <w:contextualSpacing w:val="0"/>
              <w:rPr>
                <w:b/>
              </w:rPr>
            </w:pPr>
            <w:r>
              <w:rPr>
                <w:b/>
              </w:rPr>
              <w:t>Success rate</w:t>
            </w:r>
            <w:r w:rsidR="005744BF">
              <w:rPr>
                <w:b/>
              </w:rPr>
              <w:t xml:space="preserve"> </w:t>
            </w:r>
          </w:p>
        </w:tc>
        <w:tc>
          <w:tcPr>
            <w:tcW w:w="2368" w:type="dxa"/>
          </w:tcPr>
          <w:p w14:paraId="1A778D3D" w14:textId="5431A165" w:rsidR="00390D44" w:rsidRPr="001571F6" w:rsidRDefault="00051E6B" w:rsidP="00F11C9D">
            <w:pPr>
              <w:pStyle w:val="ListParagraph"/>
              <w:spacing w:before="120"/>
              <w:ind w:left="34"/>
            </w:pPr>
            <w:r>
              <w:t>8</w:t>
            </w:r>
            <w:r w:rsidR="00F11C9D">
              <w:t>7</w:t>
            </w:r>
            <w:r>
              <w:t>%</w:t>
            </w:r>
            <w:r w:rsidR="00F11C9D">
              <w:t xml:space="preserve"> = improved</w:t>
            </w:r>
          </w:p>
        </w:tc>
        <w:tc>
          <w:tcPr>
            <w:tcW w:w="5224" w:type="dxa"/>
          </w:tcPr>
          <w:p w14:paraId="7078F1EA" w14:textId="0F098C7E" w:rsidR="00051E6B" w:rsidRPr="001571F6" w:rsidRDefault="00A674E8" w:rsidP="000F00F3">
            <w:pPr>
              <w:pStyle w:val="ListParagraph"/>
              <w:spacing w:before="120"/>
              <w:ind w:left="0"/>
              <w:contextualSpacing w:val="0"/>
            </w:pPr>
            <w:r>
              <w:t xml:space="preserve"> </w:t>
            </w:r>
          </w:p>
        </w:tc>
      </w:tr>
      <w:tr w:rsidR="002F17B6" w14:paraId="49CAF0BE" w14:textId="77777777" w:rsidTr="00287DC3">
        <w:tc>
          <w:tcPr>
            <w:tcW w:w="1668" w:type="dxa"/>
          </w:tcPr>
          <w:p w14:paraId="0E5ED3F1" w14:textId="77777777" w:rsidR="002F17B6" w:rsidRDefault="002F17B6" w:rsidP="00BB393D">
            <w:pPr>
              <w:pStyle w:val="ListParagraph"/>
              <w:spacing w:before="120"/>
              <w:ind w:left="0"/>
              <w:contextualSpacing w:val="0"/>
              <w:rPr>
                <w:b/>
              </w:rPr>
            </w:pPr>
            <w:r>
              <w:rPr>
                <w:b/>
              </w:rPr>
              <w:t>DR-TB</w:t>
            </w:r>
          </w:p>
        </w:tc>
        <w:tc>
          <w:tcPr>
            <w:tcW w:w="2368" w:type="dxa"/>
          </w:tcPr>
          <w:p w14:paraId="66F5703B" w14:textId="4D49C1CA" w:rsidR="002F17B6" w:rsidRPr="001571F6" w:rsidRDefault="00F11C9D" w:rsidP="00BB393D">
            <w:pPr>
              <w:pStyle w:val="ListParagraph"/>
              <w:spacing w:before="120"/>
              <w:ind w:left="0"/>
              <w:contextualSpacing w:val="0"/>
            </w:pPr>
            <w:r>
              <w:t>58</w:t>
            </w:r>
            <w:r w:rsidR="00FB66E6">
              <w:t>%</w:t>
            </w:r>
            <w:r>
              <w:t xml:space="preserve"> = 2</w:t>
            </w:r>
            <w:r w:rsidRPr="00F11C9D">
              <w:rPr>
                <w:vertAlign w:val="superscript"/>
              </w:rPr>
              <w:t>nd</w:t>
            </w:r>
            <w:r>
              <w:t xml:space="preserve"> best result under NFM in absolute terms, target increased by 25%</w:t>
            </w:r>
          </w:p>
        </w:tc>
        <w:tc>
          <w:tcPr>
            <w:tcW w:w="5224" w:type="dxa"/>
          </w:tcPr>
          <w:p w14:paraId="70DF83A9" w14:textId="7287580C" w:rsidR="002F17B6" w:rsidRPr="001571F6" w:rsidRDefault="002F17B6" w:rsidP="00BB393D">
            <w:pPr>
              <w:pStyle w:val="ListParagraph"/>
              <w:spacing w:before="120"/>
              <w:ind w:left="0"/>
              <w:contextualSpacing w:val="0"/>
            </w:pPr>
          </w:p>
        </w:tc>
      </w:tr>
      <w:tr w:rsidR="002F17B6" w14:paraId="1DD2B125" w14:textId="77777777" w:rsidTr="00287DC3">
        <w:tc>
          <w:tcPr>
            <w:tcW w:w="1668" w:type="dxa"/>
          </w:tcPr>
          <w:p w14:paraId="098276BA" w14:textId="77777777" w:rsidR="002F17B6" w:rsidRDefault="002F17B6" w:rsidP="00BB393D">
            <w:pPr>
              <w:pStyle w:val="ListParagraph"/>
              <w:spacing w:before="120"/>
              <w:ind w:left="0"/>
              <w:contextualSpacing w:val="0"/>
              <w:rPr>
                <w:b/>
              </w:rPr>
            </w:pPr>
            <w:r>
              <w:rPr>
                <w:b/>
              </w:rPr>
              <w:t>Treatment DR-TB</w:t>
            </w:r>
          </w:p>
        </w:tc>
        <w:tc>
          <w:tcPr>
            <w:tcW w:w="2368" w:type="dxa"/>
          </w:tcPr>
          <w:p w14:paraId="6D117EE8" w14:textId="0C0C5430" w:rsidR="002F17B6" w:rsidRPr="001571F6" w:rsidRDefault="001C506F" w:rsidP="00242DCA">
            <w:pPr>
              <w:pStyle w:val="ListParagraph"/>
              <w:spacing w:before="120"/>
              <w:ind w:left="0"/>
              <w:contextualSpacing w:val="0"/>
            </w:pPr>
            <w:r>
              <w:t xml:space="preserve">More cases enrolled than diagnosed (lack of Capreomycin in Q4). </w:t>
            </w:r>
            <w:r w:rsidR="00242DCA">
              <w:t>Out of 199 identified, 149 are put on treatment. What about the remaining?</w:t>
            </w:r>
            <w:r>
              <w:t xml:space="preserve"> </w:t>
            </w:r>
          </w:p>
        </w:tc>
        <w:tc>
          <w:tcPr>
            <w:tcW w:w="5224" w:type="dxa"/>
          </w:tcPr>
          <w:p w14:paraId="533E731B" w14:textId="50067341" w:rsidR="002F17B6" w:rsidRPr="001571F6" w:rsidRDefault="00242DCA" w:rsidP="00BB393D">
            <w:pPr>
              <w:pStyle w:val="ListParagraph"/>
              <w:spacing w:before="120"/>
              <w:ind w:left="0"/>
              <w:contextualSpacing w:val="0"/>
            </w:pPr>
            <w:r>
              <w:t xml:space="preserve">CCM continues to follow up. </w:t>
            </w:r>
          </w:p>
        </w:tc>
      </w:tr>
      <w:tr w:rsidR="00287DC3" w14:paraId="014E9740" w14:textId="77777777" w:rsidTr="00287DC3">
        <w:tc>
          <w:tcPr>
            <w:tcW w:w="1668" w:type="dxa"/>
          </w:tcPr>
          <w:p w14:paraId="59EE4DCC" w14:textId="3944558B" w:rsidR="00287DC3" w:rsidRDefault="00287DC3" w:rsidP="00BB393D">
            <w:pPr>
              <w:pStyle w:val="ListParagraph"/>
              <w:spacing w:before="120"/>
              <w:ind w:left="0"/>
              <w:contextualSpacing w:val="0"/>
              <w:rPr>
                <w:b/>
              </w:rPr>
            </w:pPr>
            <w:r w:rsidRPr="00287DC3">
              <w:rPr>
                <w:b/>
              </w:rPr>
              <w:t># notified cases bacteriological</w:t>
            </w:r>
            <w:r w:rsidRPr="00287DC3">
              <w:rPr>
                <w:b/>
              </w:rPr>
              <w:tab/>
            </w:r>
            <w:r w:rsidRPr="00287DC3">
              <w:rPr>
                <w:b/>
              </w:rPr>
              <w:tab/>
            </w:r>
          </w:p>
        </w:tc>
        <w:tc>
          <w:tcPr>
            <w:tcW w:w="2368" w:type="dxa"/>
          </w:tcPr>
          <w:p w14:paraId="262B65ED" w14:textId="09B49889" w:rsidR="00287DC3" w:rsidRDefault="0043263F" w:rsidP="00BB393D">
            <w:pPr>
              <w:pStyle w:val="ListParagraph"/>
              <w:spacing w:before="120"/>
              <w:ind w:left="0"/>
              <w:contextualSpacing w:val="0"/>
            </w:pPr>
            <w:r>
              <w:t>100%</w:t>
            </w:r>
          </w:p>
        </w:tc>
        <w:tc>
          <w:tcPr>
            <w:tcW w:w="5224" w:type="dxa"/>
          </w:tcPr>
          <w:p w14:paraId="69F1EE44" w14:textId="77777777" w:rsidR="00287DC3" w:rsidRDefault="00287DC3" w:rsidP="00BB393D">
            <w:pPr>
              <w:pStyle w:val="ListParagraph"/>
              <w:spacing w:before="120"/>
              <w:ind w:left="0"/>
              <w:contextualSpacing w:val="0"/>
            </w:pPr>
          </w:p>
        </w:tc>
      </w:tr>
      <w:tr w:rsidR="002F17B6" w14:paraId="423C865C" w14:textId="77777777" w:rsidTr="00287DC3">
        <w:tc>
          <w:tcPr>
            <w:tcW w:w="1668" w:type="dxa"/>
          </w:tcPr>
          <w:p w14:paraId="36E2A638" w14:textId="77777777" w:rsidR="002F17B6" w:rsidRDefault="002F17B6" w:rsidP="00BB393D">
            <w:pPr>
              <w:pStyle w:val="ListParagraph"/>
              <w:spacing w:before="120"/>
              <w:ind w:left="0"/>
              <w:contextualSpacing w:val="0"/>
              <w:rPr>
                <w:b/>
              </w:rPr>
            </w:pPr>
            <w:r>
              <w:rPr>
                <w:b/>
              </w:rPr>
              <w:t>DST</w:t>
            </w:r>
          </w:p>
        </w:tc>
        <w:tc>
          <w:tcPr>
            <w:tcW w:w="2368" w:type="dxa"/>
          </w:tcPr>
          <w:p w14:paraId="300F7AA7" w14:textId="0B6639CD" w:rsidR="002F17B6" w:rsidRPr="001571F6" w:rsidRDefault="0043263F" w:rsidP="0043263F">
            <w:pPr>
              <w:pStyle w:val="PlainText"/>
            </w:pPr>
            <w:r>
              <w:t>63</w:t>
            </w:r>
            <w:r w:rsidR="00FB66E6">
              <w:t>%</w:t>
            </w:r>
            <w:r>
              <w:t xml:space="preserve">: in relative as well as absolute terms, = lowest result during the past year </w:t>
            </w:r>
          </w:p>
        </w:tc>
        <w:tc>
          <w:tcPr>
            <w:tcW w:w="5224" w:type="dxa"/>
          </w:tcPr>
          <w:p w14:paraId="5CE11702" w14:textId="1EBA34A9" w:rsidR="002F17B6" w:rsidRPr="001571F6" w:rsidRDefault="00242DCA" w:rsidP="00BB393D">
            <w:pPr>
              <w:pStyle w:val="ListParagraph"/>
              <w:spacing w:before="120"/>
              <w:ind w:left="0"/>
              <w:contextualSpacing w:val="0"/>
            </w:pPr>
            <w:r>
              <w:t>Not discussed</w:t>
            </w:r>
          </w:p>
        </w:tc>
      </w:tr>
      <w:tr w:rsidR="00524993" w14:paraId="46B144B1" w14:textId="77777777" w:rsidTr="00242DCA">
        <w:trPr>
          <w:cantSplit/>
        </w:trPr>
        <w:tc>
          <w:tcPr>
            <w:tcW w:w="1668" w:type="dxa"/>
          </w:tcPr>
          <w:p w14:paraId="26FB6113" w14:textId="77777777" w:rsidR="00BB393D" w:rsidRDefault="00BB393D" w:rsidP="00BB393D">
            <w:pPr>
              <w:pStyle w:val="ListParagraph"/>
              <w:spacing w:before="120"/>
              <w:ind w:left="0"/>
              <w:contextualSpacing w:val="0"/>
              <w:rPr>
                <w:b/>
              </w:rPr>
            </w:pPr>
            <w:r>
              <w:rPr>
                <w:b/>
              </w:rPr>
              <w:lastRenderedPageBreak/>
              <w:t># HTS</w:t>
            </w:r>
          </w:p>
        </w:tc>
        <w:tc>
          <w:tcPr>
            <w:tcW w:w="2368" w:type="dxa"/>
          </w:tcPr>
          <w:p w14:paraId="14C7CDBA" w14:textId="0472FC6B" w:rsidR="00BB393D" w:rsidRPr="001571F6" w:rsidRDefault="0043263F" w:rsidP="00BB393D">
            <w:pPr>
              <w:pStyle w:val="ListParagraph"/>
              <w:spacing w:before="120"/>
              <w:ind w:left="0"/>
              <w:contextualSpacing w:val="0"/>
            </w:pPr>
            <w:r>
              <w:t>84%. If we have 3957 notified cases only, how can 4946 of them have a known HIV status?</w:t>
            </w:r>
            <w:r w:rsidR="00242DCA">
              <w:t xml:space="preserve"> Similar result if the whole semester is considered.</w:t>
            </w:r>
          </w:p>
        </w:tc>
        <w:tc>
          <w:tcPr>
            <w:tcW w:w="5224" w:type="dxa"/>
          </w:tcPr>
          <w:p w14:paraId="502C1869" w14:textId="1C060FB1" w:rsidR="00BB393D" w:rsidRPr="001571F6" w:rsidRDefault="00242DCA" w:rsidP="00BB393D">
            <w:pPr>
              <w:pStyle w:val="ListParagraph"/>
              <w:spacing w:before="120"/>
              <w:ind w:left="0"/>
              <w:contextualSpacing w:val="0"/>
            </w:pPr>
            <w:r>
              <w:t>CCM continues to follow up</w:t>
            </w:r>
          </w:p>
        </w:tc>
      </w:tr>
      <w:tr w:rsidR="00524993" w14:paraId="550D0BAD" w14:textId="77777777" w:rsidTr="00287DC3">
        <w:tc>
          <w:tcPr>
            <w:tcW w:w="1668" w:type="dxa"/>
          </w:tcPr>
          <w:p w14:paraId="19A51E42" w14:textId="77777777" w:rsidR="00BB393D" w:rsidRDefault="00BB393D" w:rsidP="00BB393D">
            <w:pPr>
              <w:pStyle w:val="ListParagraph"/>
              <w:spacing w:before="120"/>
              <w:ind w:left="0"/>
              <w:contextualSpacing w:val="0"/>
              <w:rPr>
                <w:b/>
              </w:rPr>
            </w:pPr>
            <w:r>
              <w:rPr>
                <w:b/>
              </w:rPr>
              <w:t># ART</w:t>
            </w:r>
          </w:p>
        </w:tc>
        <w:tc>
          <w:tcPr>
            <w:tcW w:w="2368" w:type="dxa"/>
          </w:tcPr>
          <w:p w14:paraId="6E86894A" w14:textId="35EFFAA1" w:rsidR="00BB393D" w:rsidRPr="001571F6" w:rsidRDefault="00FB66E6" w:rsidP="0043263F">
            <w:pPr>
              <w:pStyle w:val="ListParagraph"/>
              <w:spacing w:before="120"/>
              <w:ind w:left="0"/>
              <w:contextualSpacing w:val="0"/>
            </w:pPr>
            <w:r>
              <w:t>3</w:t>
            </w:r>
            <w:r w:rsidR="0043263F">
              <w:t>9</w:t>
            </w:r>
            <w:r>
              <w:t>%</w:t>
            </w:r>
            <w:r w:rsidR="0043263F">
              <w:t xml:space="preserve"> (higher target in 2017), highest number enrolled </w:t>
            </w:r>
            <w:r w:rsidR="00845A98">
              <w:t>since NFM start</w:t>
            </w:r>
          </w:p>
        </w:tc>
        <w:tc>
          <w:tcPr>
            <w:tcW w:w="5224" w:type="dxa"/>
          </w:tcPr>
          <w:p w14:paraId="3A4DC861" w14:textId="4F0B7600" w:rsidR="00BB393D" w:rsidRPr="001571F6" w:rsidRDefault="00BB393D" w:rsidP="00DD7FE1">
            <w:pPr>
              <w:pStyle w:val="ListParagraph"/>
              <w:spacing w:before="120"/>
              <w:ind w:left="0"/>
              <w:contextualSpacing w:val="0"/>
            </w:pPr>
          </w:p>
        </w:tc>
      </w:tr>
      <w:tr w:rsidR="00287DC3" w14:paraId="2AEF9CE2" w14:textId="77777777" w:rsidTr="00287DC3">
        <w:tc>
          <w:tcPr>
            <w:tcW w:w="1668" w:type="dxa"/>
          </w:tcPr>
          <w:p w14:paraId="3B11AB14" w14:textId="77777777" w:rsidR="00287DC3" w:rsidRDefault="00287DC3" w:rsidP="00AA23C2">
            <w:pPr>
              <w:pStyle w:val="ListParagraph"/>
              <w:spacing w:before="120"/>
              <w:ind w:left="0"/>
              <w:contextualSpacing w:val="0"/>
              <w:rPr>
                <w:b/>
              </w:rPr>
            </w:pPr>
            <w:r>
              <w:rPr>
                <w:b/>
              </w:rPr>
              <w:t># non NTP providers</w:t>
            </w:r>
          </w:p>
        </w:tc>
        <w:tc>
          <w:tcPr>
            <w:tcW w:w="2368" w:type="dxa"/>
          </w:tcPr>
          <w:p w14:paraId="2FDCF004" w14:textId="18F59445" w:rsidR="00287DC3" w:rsidRPr="001571F6" w:rsidRDefault="00845A98" w:rsidP="00845A98">
            <w:pPr>
              <w:pStyle w:val="PlainText"/>
            </w:pPr>
            <w:r>
              <w:t xml:space="preserve">0% Doesn’t non-NTP providers also include private healthcare facilities? If so, why don’t we have any results from them? When is the next STBP report due? </w:t>
            </w:r>
          </w:p>
        </w:tc>
        <w:tc>
          <w:tcPr>
            <w:tcW w:w="5224" w:type="dxa"/>
          </w:tcPr>
          <w:p w14:paraId="49F08373" w14:textId="2F94B88B" w:rsidR="00287DC3" w:rsidRPr="001571F6" w:rsidRDefault="00242DCA" w:rsidP="00AA23C2">
            <w:pPr>
              <w:pStyle w:val="ListParagraph"/>
              <w:spacing w:before="120"/>
              <w:ind w:left="0"/>
              <w:contextualSpacing w:val="0"/>
            </w:pPr>
            <w:r>
              <w:t>CCM continues to follow up</w:t>
            </w:r>
          </w:p>
        </w:tc>
      </w:tr>
      <w:tr w:rsidR="00287DC3" w14:paraId="5F432233" w14:textId="77777777" w:rsidTr="00287DC3">
        <w:tc>
          <w:tcPr>
            <w:tcW w:w="1668" w:type="dxa"/>
          </w:tcPr>
          <w:p w14:paraId="4562563B" w14:textId="77777777" w:rsidR="00287DC3" w:rsidRDefault="00287DC3" w:rsidP="00AA23C2">
            <w:pPr>
              <w:pStyle w:val="ListParagraph"/>
              <w:spacing w:before="120"/>
              <w:ind w:left="0"/>
              <w:contextualSpacing w:val="0"/>
              <w:rPr>
                <w:b/>
              </w:rPr>
            </w:pPr>
            <w:r>
              <w:rPr>
                <w:b/>
              </w:rPr>
              <w:t># district hospitals with no stock out</w:t>
            </w:r>
          </w:p>
        </w:tc>
        <w:tc>
          <w:tcPr>
            <w:tcW w:w="2368" w:type="dxa"/>
          </w:tcPr>
          <w:p w14:paraId="6892DDE3" w14:textId="2045CB2C" w:rsidR="00287DC3" w:rsidRPr="001571F6" w:rsidRDefault="00845A98" w:rsidP="00AA23C2">
            <w:pPr>
              <w:pStyle w:val="ListParagraph"/>
              <w:spacing w:before="120"/>
              <w:ind w:left="0"/>
              <w:contextualSpacing w:val="0"/>
            </w:pPr>
            <w:r>
              <w:t xml:space="preserve">True with low stock levels reported in stock status reports? </w:t>
            </w:r>
          </w:p>
        </w:tc>
        <w:tc>
          <w:tcPr>
            <w:tcW w:w="5224" w:type="dxa"/>
          </w:tcPr>
          <w:p w14:paraId="6557401A" w14:textId="77777777" w:rsidR="00287DC3" w:rsidRPr="001571F6" w:rsidRDefault="00287DC3" w:rsidP="00AA23C2">
            <w:pPr>
              <w:pStyle w:val="ListParagraph"/>
              <w:spacing w:before="120"/>
              <w:ind w:left="0"/>
              <w:contextualSpacing w:val="0"/>
            </w:pPr>
          </w:p>
        </w:tc>
      </w:tr>
    </w:tbl>
    <w:p w14:paraId="49D856A8" w14:textId="61C710F4" w:rsidR="007C3609" w:rsidRPr="007C3609" w:rsidRDefault="007C3609" w:rsidP="000811C0">
      <w:pPr>
        <w:pStyle w:val="ListParagraph"/>
        <w:numPr>
          <w:ilvl w:val="0"/>
          <w:numId w:val="3"/>
        </w:numPr>
        <w:spacing w:before="360" w:after="120"/>
        <w:ind w:left="357" w:hanging="357"/>
        <w:contextualSpacing w:val="0"/>
        <w:jc w:val="both"/>
        <w:rPr>
          <w:b/>
          <w:color w:val="000000" w:themeColor="text1"/>
        </w:rPr>
      </w:pPr>
      <w:r w:rsidRPr="007C3609">
        <w:rPr>
          <w:b/>
          <w:color w:val="000000" w:themeColor="text1"/>
        </w:rPr>
        <w:t xml:space="preserve">Challenges expected during the next six months: </w:t>
      </w:r>
      <w:r w:rsidR="00443A34" w:rsidRPr="00443A34">
        <w:rPr>
          <w:color w:val="000000" w:themeColor="text1"/>
        </w:rPr>
        <w:t>small scale miners’ screening not possible</w:t>
      </w:r>
      <w:r w:rsidR="00443A34">
        <w:rPr>
          <w:color w:val="000000" w:themeColor="text1"/>
        </w:rPr>
        <w:t xml:space="preserve"> </w:t>
      </w:r>
      <w:r w:rsidR="00242DCA">
        <w:rPr>
          <w:color w:val="000000" w:themeColor="text1"/>
        </w:rPr>
        <w:t xml:space="preserve">due to effective counter measures against illegal mining activities. </w:t>
      </w:r>
      <w:bookmarkStart w:id="0" w:name="_GoBack"/>
      <w:bookmarkEnd w:id="0"/>
      <w:r w:rsidR="00443A34">
        <w:rPr>
          <w:b/>
          <w:color w:val="000000" w:themeColor="text1"/>
        </w:rPr>
        <w:t xml:space="preserve"> </w:t>
      </w:r>
    </w:p>
    <w:p w14:paraId="76EEFFCD" w14:textId="76DC1B58" w:rsidR="007C3609" w:rsidRPr="007C3609" w:rsidRDefault="007C3609" w:rsidP="000811C0">
      <w:pPr>
        <w:pStyle w:val="ListParagraph"/>
        <w:numPr>
          <w:ilvl w:val="0"/>
          <w:numId w:val="3"/>
        </w:numPr>
        <w:spacing w:before="360" w:after="120"/>
        <w:ind w:left="357" w:hanging="357"/>
        <w:contextualSpacing w:val="0"/>
        <w:jc w:val="both"/>
        <w:rPr>
          <w:b/>
          <w:color w:val="000000" w:themeColor="text1"/>
        </w:rPr>
      </w:pPr>
      <w:r>
        <w:rPr>
          <w:b/>
          <w:color w:val="000000" w:themeColor="text1"/>
        </w:rPr>
        <w:t xml:space="preserve">Recommendations: </w:t>
      </w:r>
      <w:r w:rsidR="00443A34">
        <w:rPr>
          <w:color w:val="000000" w:themeColor="text1"/>
        </w:rPr>
        <w:t>C</w:t>
      </w:r>
      <w:r w:rsidR="00443A34" w:rsidRPr="00443A34">
        <w:rPr>
          <w:color w:val="000000" w:themeColor="text1"/>
        </w:rPr>
        <w:t xml:space="preserve">ollaborate </w:t>
      </w:r>
      <w:r w:rsidR="00443A34">
        <w:rPr>
          <w:color w:val="000000" w:themeColor="text1"/>
        </w:rPr>
        <w:t xml:space="preserve">with </w:t>
      </w:r>
      <w:r w:rsidR="00443A34" w:rsidRPr="00443A34">
        <w:rPr>
          <w:color w:val="000000" w:themeColor="text1"/>
        </w:rPr>
        <w:t xml:space="preserve">CBOs </w:t>
      </w:r>
      <w:r w:rsidR="00443A34">
        <w:rPr>
          <w:color w:val="000000" w:themeColor="text1"/>
        </w:rPr>
        <w:t xml:space="preserve">including KPs </w:t>
      </w:r>
      <w:r w:rsidR="00443A34" w:rsidRPr="00443A34">
        <w:rPr>
          <w:color w:val="000000" w:themeColor="text1"/>
        </w:rPr>
        <w:t>for case finding</w:t>
      </w:r>
      <w:r w:rsidR="00443A34">
        <w:rPr>
          <w:color w:val="000000" w:themeColor="text1"/>
        </w:rPr>
        <w:t xml:space="preserve">. </w:t>
      </w:r>
    </w:p>
    <w:p w14:paraId="585F52B3" w14:textId="77777777" w:rsidR="00F957F5" w:rsidRPr="0045076C" w:rsidRDefault="00F957F5" w:rsidP="000811C0">
      <w:pPr>
        <w:pStyle w:val="ListParagraph"/>
        <w:numPr>
          <w:ilvl w:val="0"/>
          <w:numId w:val="1"/>
        </w:numPr>
        <w:spacing w:before="360"/>
        <w:contextualSpacing w:val="0"/>
        <w:jc w:val="both"/>
        <w:rPr>
          <w:b/>
          <w:color w:val="C00000"/>
          <w:sz w:val="24"/>
          <w:szCs w:val="24"/>
        </w:rPr>
      </w:pPr>
      <w:r w:rsidRPr="0045076C">
        <w:rPr>
          <w:b/>
          <w:color w:val="C00000"/>
          <w:sz w:val="24"/>
          <w:szCs w:val="24"/>
        </w:rPr>
        <w:t>Closing</w:t>
      </w:r>
    </w:p>
    <w:p w14:paraId="5BF494B0" w14:textId="547C52A9" w:rsidR="00D96870" w:rsidRDefault="00F957F5" w:rsidP="00F957F5">
      <w:pPr>
        <w:jc w:val="both"/>
      </w:pPr>
      <w:r>
        <w:t>The meeting came to a close at about</w:t>
      </w:r>
      <w:r w:rsidR="00287DC3">
        <w:t xml:space="preserve"> </w:t>
      </w:r>
      <w:r w:rsidR="0070476D">
        <w:t>4pm</w:t>
      </w:r>
      <w:r w:rsidR="009D16BD">
        <w:t xml:space="preserve">. </w:t>
      </w:r>
    </w:p>
    <w:sectPr w:rsidR="00D96870" w:rsidSect="00C90338">
      <w:footerReference w:type="default" r:id="rId9"/>
      <w:pgSz w:w="11907" w:h="16839" w:code="9"/>
      <w:pgMar w:top="1440" w:right="862" w:bottom="862"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9F8F8" w14:textId="77777777" w:rsidR="00D4668D" w:rsidRDefault="00D4668D" w:rsidP="007D2F92">
      <w:pPr>
        <w:spacing w:after="0" w:line="240" w:lineRule="auto"/>
      </w:pPr>
      <w:r>
        <w:separator/>
      </w:r>
    </w:p>
  </w:endnote>
  <w:endnote w:type="continuationSeparator" w:id="0">
    <w:p w14:paraId="73309191" w14:textId="77777777" w:rsidR="00D4668D" w:rsidRDefault="00D4668D" w:rsidP="007D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670168"/>
      <w:docPartObj>
        <w:docPartGallery w:val="Page Numbers (Bottom of Page)"/>
        <w:docPartUnique/>
      </w:docPartObj>
    </w:sdtPr>
    <w:sdtEndPr>
      <w:rPr>
        <w:color w:val="808080" w:themeColor="background1" w:themeShade="80"/>
        <w:spacing w:val="60"/>
      </w:rPr>
    </w:sdtEndPr>
    <w:sdtContent>
      <w:p w14:paraId="31E0ACC0" w14:textId="77777777" w:rsidR="0047774B" w:rsidRDefault="0047774B">
        <w:pPr>
          <w:pStyle w:val="Footer"/>
          <w:pBdr>
            <w:top w:val="single" w:sz="4" w:space="1" w:color="D9D9D9" w:themeColor="background1" w:themeShade="D9"/>
          </w:pBdr>
          <w:jc w:val="right"/>
        </w:pPr>
        <w:r>
          <w:fldChar w:fldCharType="begin"/>
        </w:r>
        <w:r>
          <w:instrText xml:space="preserve"> PAGE   \* MERGEFORMAT </w:instrText>
        </w:r>
        <w:r>
          <w:fldChar w:fldCharType="separate"/>
        </w:r>
        <w:r w:rsidR="00242DCA">
          <w:rPr>
            <w:noProof/>
          </w:rPr>
          <w:t>11</w:t>
        </w:r>
        <w:r>
          <w:rPr>
            <w:noProof/>
          </w:rPr>
          <w:fldChar w:fldCharType="end"/>
        </w:r>
        <w:r>
          <w:t xml:space="preserve"> | </w:t>
        </w:r>
        <w:r>
          <w:rPr>
            <w:color w:val="808080" w:themeColor="background1" w:themeShade="80"/>
            <w:spacing w:val="60"/>
          </w:rPr>
          <w:t>Page</w:t>
        </w:r>
      </w:p>
    </w:sdtContent>
  </w:sdt>
  <w:p w14:paraId="134FFEBF" w14:textId="77777777" w:rsidR="0047774B" w:rsidRDefault="004777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C1111" w14:textId="77777777" w:rsidR="00D4668D" w:rsidRDefault="00D4668D" w:rsidP="007D2F92">
      <w:pPr>
        <w:spacing w:after="0" w:line="240" w:lineRule="auto"/>
      </w:pPr>
      <w:r>
        <w:separator/>
      </w:r>
    </w:p>
  </w:footnote>
  <w:footnote w:type="continuationSeparator" w:id="0">
    <w:p w14:paraId="65A4B877" w14:textId="77777777" w:rsidR="00D4668D" w:rsidRDefault="00D4668D" w:rsidP="007D2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F4266"/>
    <w:multiLevelType w:val="hybridMultilevel"/>
    <w:tmpl w:val="E996AB30"/>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103A3535"/>
    <w:multiLevelType w:val="hybridMultilevel"/>
    <w:tmpl w:val="C4B615C6"/>
    <w:lvl w:ilvl="0" w:tplc="04090001">
      <w:start w:val="1"/>
      <w:numFmt w:val="bullet"/>
      <w:lvlText w:val=""/>
      <w:lvlJc w:val="left"/>
      <w:pPr>
        <w:ind w:left="717" w:hanging="360"/>
      </w:pPr>
      <w:rPr>
        <w:rFonts w:ascii="Symbol" w:hAnsi="Symbol"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15:restartNumberingAfterBreak="0">
    <w:nsid w:val="2CD51A64"/>
    <w:multiLevelType w:val="hybridMultilevel"/>
    <w:tmpl w:val="6F18840A"/>
    <w:lvl w:ilvl="0" w:tplc="3CE0DF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B67240"/>
    <w:multiLevelType w:val="hybridMultilevel"/>
    <w:tmpl w:val="1AB013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682C35"/>
    <w:multiLevelType w:val="hybridMultilevel"/>
    <w:tmpl w:val="430C8932"/>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36CF4F86"/>
    <w:multiLevelType w:val="hybridMultilevel"/>
    <w:tmpl w:val="352E7874"/>
    <w:lvl w:ilvl="0" w:tplc="04090001">
      <w:start w:val="1"/>
      <w:numFmt w:val="bullet"/>
      <w:lvlText w:val=""/>
      <w:lvlJc w:val="left"/>
      <w:pPr>
        <w:ind w:left="717" w:hanging="360"/>
      </w:pPr>
      <w:rPr>
        <w:rFonts w:ascii="Symbol" w:hAnsi="Symbol"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 w15:restartNumberingAfterBreak="0">
    <w:nsid w:val="3A9808D3"/>
    <w:multiLevelType w:val="hybridMultilevel"/>
    <w:tmpl w:val="BA723854"/>
    <w:lvl w:ilvl="0" w:tplc="FD286B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F91AFB"/>
    <w:multiLevelType w:val="hybridMultilevel"/>
    <w:tmpl w:val="87EAC2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3E763A"/>
    <w:multiLevelType w:val="hybridMultilevel"/>
    <w:tmpl w:val="C8700F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590208"/>
    <w:multiLevelType w:val="hybridMultilevel"/>
    <w:tmpl w:val="4030F2C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617107B2"/>
    <w:multiLevelType w:val="hybridMultilevel"/>
    <w:tmpl w:val="D44031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ADA07FD"/>
    <w:multiLevelType w:val="hybridMultilevel"/>
    <w:tmpl w:val="5B7AC5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F10B3B"/>
    <w:multiLevelType w:val="hybridMultilevel"/>
    <w:tmpl w:val="35AC78F6"/>
    <w:lvl w:ilvl="0" w:tplc="E22099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9D4DA2"/>
    <w:multiLevelType w:val="hybridMultilevel"/>
    <w:tmpl w:val="24B69F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9E17CE6"/>
    <w:multiLevelType w:val="hybridMultilevel"/>
    <w:tmpl w:val="8DA6BC70"/>
    <w:lvl w:ilvl="0" w:tplc="04090001">
      <w:start w:val="1"/>
      <w:numFmt w:val="bullet"/>
      <w:lvlText w:val=""/>
      <w:lvlJc w:val="left"/>
      <w:pPr>
        <w:ind w:left="735" w:hanging="360"/>
      </w:pPr>
      <w:rPr>
        <w:rFonts w:ascii="Symbol" w:hAnsi="Symbol"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3"/>
  </w:num>
  <w:num w:numId="2">
    <w:abstractNumId w:val="13"/>
  </w:num>
  <w:num w:numId="3">
    <w:abstractNumId w:val="8"/>
  </w:num>
  <w:num w:numId="4">
    <w:abstractNumId w:val="2"/>
  </w:num>
  <w:num w:numId="5">
    <w:abstractNumId w:val="12"/>
  </w:num>
  <w:num w:numId="6">
    <w:abstractNumId w:val="10"/>
  </w:num>
  <w:num w:numId="7">
    <w:abstractNumId w:val="14"/>
  </w:num>
  <w:num w:numId="8">
    <w:abstractNumId w:val="9"/>
  </w:num>
  <w:num w:numId="9">
    <w:abstractNumId w:val="6"/>
  </w:num>
  <w:num w:numId="10">
    <w:abstractNumId w:val="1"/>
  </w:num>
  <w:num w:numId="11">
    <w:abstractNumId w:val="5"/>
  </w:num>
  <w:num w:numId="12">
    <w:abstractNumId w:val="0"/>
  </w:num>
  <w:num w:numId="13">
    <w:abstractNumId w:val="11"/>
  </w:num>
  <w:num w:numId="14">
    <w:abstractNumId w:val="4"/>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73"/>
    <w:rsid w:val="000001EB"/>
    <w:rsid w:val="00000756"/>
    <w:rsid w:val="00005D57"/>
    <w:rsid w:val="0001151B"/>
    <w:rsid w:val="00012CAF"/>
    <w:rsid w:val="00014CB3"/>
    <w:rsid w:val="00016119"/>
    <w:rsid w:val="00021983"/>
    <w:rsid w:val="00022A9E"/>
    <w:rsid w:val="00027F91"/>
    <w:rsid w:val="00030B1C"/>
    <w:rsid w:val="00030F66"/>
    <w:rsid w:val="000328A6"/>
    <w:rsid w:val="000334EA"/>
    <w:rsid w:val="000335D7"/>
    <w:rsid w:val="00035867"/>
    <w:rsid w:val="0004237F"/>
    <w:rsid w:val="00043AFF"/>
    <w:rsid w:val="00051E6B"/>
    <w:rsid w:val="00052103"/>
    <w:rsid w:val="00052CD1"/>
    <w:rsid w:val="000624D6"/>
    <w:rsid w:val="00062568"/>
    <w:rsid w:val="00063886"/>
    <w:rsid w:val="000647D6"/>
    <w:rsid w:val="00065BBA"/>
    <w:rsid w:val="00066C73"/>
    <w:rsid w:val="00067DCB"/>
    <w:rsid w:val="00071A00"/>
    <w:rsid w:val="00072DEC"/>
    <w:rsid w:val="000811C0"/>
    <w:rsid w:val="00084F87"/>
    <w:rsid w:val="00086796"/>
    <w:rsid w:val="000873B2"/>
    <w:rsid w:val="000873EF"/>
    <w:rsid w:val="00087F9A"/>
    <w:rsid w:val="0009022D"/>
    <w:rsid w:val="00091D7D"/>
    <w:rsid w:val="000933B8"/>
    <w:rsid w:val="00097D58"/>
    <w:rsid w:val="000A005F"/>
    <w:rsid w:val="000A45D3"/>
    <w:rsid w:val="000A4B8C"/>
    <w:rsid w:val="000B48A2"/>
    <w:rsid w:val="000C0655"/>
    <w:rsid w:val="000C0A3F"/>
    <w:rsid w:val="000C422C"/>
    <w:rsid w:val="000C52DD"/>
    <w:rsid w:val="000C6CFB"/>
    <w:rsid w:val="000D212F"/>
    <w:rsid w:val="000D6A4C"/>
    <w:rsid w:val="000E1410"/>
    <w:rsid w:val="000E205E"/>
    <w:rsid w:val="000E3E05"/>
    <w:rsid w:val="000E3FC1"/>
    <w:rsid w:val="000E75E5"/>
    <w:rsid w:val="000F00F3"/>
    <w:rsid w:val="000F2954"/>
    <w:rsid w:val="000F537B"/>
    <w:rsid w:val="000F6A6B"/>
    <w:rsid w:val="00103A15"/>
    <w:rsid w:val="00104381"/>
    <w:rsid w:val="001119CE"/>
    <w:rsid w:val="001137E2"/>
    <w:rsid w:val="0011782F"/>
    <w:rsid w:val="00117DA1"/>
    <w:rsid w:val="00120825"/>
    <w:rsid w:val="00120B73"/>
    <w:rsid w:val="00121BA0"/>
    <w:rsid w:val="001235BF"/>
    <w:rsid w:val="00124DDC"/>
    <w:rsid w:val="00125657"/>
    <w:rsid w:val="001257C1"/>
    <w:rsid w:val="001308D1"/>
    <w:rsid w:val="00131B07"/>
    <w:rsid w:val="00134AC8"/>
    <w:rsid w:val="001354E2"/>
    <w:rsid w:val="00136320"/>
    <w:rsid w:val="00140C51"/>
    <w:rsid w:val="00140F0B"/>
    <w:rsid w:val="001410F1"/>
    <w:rsid w:val="00143759"/>
    <w:rsid w:val="0014456C"/>
    <w:rsid w:val="00144B79"/>
    <w:rsid w:val="00145CB5"/>
    <w:rsid w:val="0015018E"/>
    <w:rsid w:val="00150307"/>
    <w:rsid w:val="0015382A"/>
    <w:rsid w:val="00155051"/>
    <w:rsid w:val="001571F6"/>
    <w:rsid w:val="00157941"/>
    <w:rsid w:val="001616CE"/>
    <w:rsid w:val="0016384D"/>
    <w:rsid w:val="0016493C"/>
    <w:rsid w:val="001671E1"/>
    <w:rsid w:val="00167B82"/>
    <w:rsid w:val="0017266D"/>
    <w:rsid w:val="00172978"/>
    <w:rsid w:val="0017690E"/>
    <w:rsid w:val="0017760A"/>
    <w:rsid w:val="00180BD6"/>
    <w:rsid w:val="0018103C"/>
    <w:rsid w:val="00181C1B"/>
    <w:rsid w:val="00183683"/>
    <w:rsid w:val="00184781"/>
    <w:rsid w:val="0018603A"/>
    <w:rsid w:val="00191AD2"/>
    <w:rsid w:val="00193BB1"/>
    <w:rsid w:val="001A0077"/>
    <w:rsid w:val="001A151D"/>
    <w:rsid w:val="001A1590"/>
    <w:rsid w:val="001A5EC4"/>
    <w:rsid w:val="001B26C1"/>
    <w:rsid w:val="001B3329"/>
    <w:rsid w:val="001B35B9"/>
    <w:rsid w:val="001B6619"/>
    <w:rsid w:val="001C506F"/>
    <w:rsid w:val="001C5E41"/>
    <w:rsid w:val="001C6EBF"/>
    <w:rsid w:val="001C70F8"/>
    <w:rsid w:val="001D386C"/>
    <w:rsid w:val="001D49CE"/>
    <w:rsid w:val="001D7D11"/>
    <w:rsid w:val="001E1B1B"/>
    <w:rsid w:val="001E6AC9"/>
    <w:rsid w:val="001F11E7"/>
    <w:rsid w:val="001F16B3"/>
    <w:rsid w:val="001F226D"/>
    <w:rsid w:val="001F7E5F"/>
    <w:rsid w:val="00204810"/>
    <w:rsid w:val="00207B72"/>
    <w:rsid w:val="00210FC5"/>
    <w:rsid w:val="00217A9B"/>
    <w:rsid w:val="00217D5C"/>
    <w:rsid w:val="002201E6"/>
    <w:rsid w:val="002203D8"/>
    <w:rsid w:val="0022135F"/>
    <w:rsid w:val="00223C5E"/>
    <w:rsid w:val="00224436"/>
    <w:rsid w:val="0022536D"/>
    <w:rsid w:val="00226C88"/>
    <w:rsid w:val="00230DBB"/>
    <w:rsid w:val="00235D4A"/>
    <w:rsid w:val="00242DCA"/>
    <w:rsid w:val="0024330A"/>
    <w:rsid w:val="00243403"/>
    <w:rsid w:val="00243C0F"/>
    <w:rsid w:val="00243F63"/>
    <w:rsid w:val="002445C7"/>
    <w:rsid w:val="00246328"/>
    <w:rsid w:val="002548A6"/>
    <w:rsid w:val="00254E5A"/>
    <w:rsid w:val="0025734F"/>
    <w:rsid w:val="00260D71"/>
    <w:rsid w:val="002631E0"/>
    <w:rsid w:val="00263992"/>
    <w:rsid w:val="00265594"/>
    <w:rsid w:val="002663FA"/>
    <w:rsid w:val="00267034"/>
    <w:rsid w:val="00271D8B"/>
    <w:rsid w:val="00273687"/>
    <w:rsid w:val="002742A0"/>
    <w:rsid w:val="00275454"/>
    <w:rsid w:val="0028266C"/>
    <w:rsid w:val="00287DC3"/>
    <w:rsid w:val="00293383"/>
    <w:rsid w:val="002A0B23"/>
    <w:rsid w:val="002A1E67"/>
    <w:rsid w:val="002A3B44"/>
    <w:rsid w:val="002A4A25"/>
    <w:rsid w:val="002A5DD9"/>
    <w:rsid w:val="002A6743"/>
    <w:rsid w:val="002A6CB3"/>
    <w:rsid w:val="002B0896"/>
    <w:rsid w:val="002B2458"/>
    <w:rsid w:val="002B359E"/>
    <w:rsid w:val="002B58B7"/>
    <w:rsid w:val="002C1F2A"/>
    <w:rsid w:val="002C3657"/>
    <w:rsid w:val="002C3E12"/>
    <w:rsid w:val="002C4395"/>
    <w:rsid w:val="002C4B55"/>
    <w:rsid w:val="002D2521"/>
    <w:rsid w:val="002D2D73"/>
    <w:rsid w:val="002D462E"/>
    <w:rsid w:val="002D5697"/>
    <w:rsid w:val="002D697C"/>
    <w:rsid w:val="002D74BE"/>
    <w:rsid w:val="002E125C"/>
    <w:rsid w:val="002E3C52"/>
    <w:rsid w:val="002E53D4"/>
    <w:rsid w:val="002F07E5"/>
    <w:rsid w:val="002F17B6"/>
    <w:rsid w:val="002F2C9E"/>
    <w:rsid w:val="002F43A1"/>
    <w:rsid w:val="002F666E"/>
    <w:rsid w:val="00300DE8"/>
    <w:rsid w:val="00313182"/>
    <w:rsid w:val="003138F0"/>
    <w:rsid w:val="003155A9"/>
    <w:rsid w:val="00316F8B"/>
    <w:rsid w:val="00317C20"/>
    <w:rsid w:val="00321215"/>
    <w:rsid w:val="00336704"/>
    <w:rsid w:val="003372F6"/>
    <w:rsid w:val="00341992"/>
    <w:rsid w:val="0034331D"/>
    <w:rsid w:val="003460FB"/>
    <w:rsid w:val="003515CA"/>
    <w:rsid w:val="0035486F"/>
    <w:rsid w:val="00357D72"/>
    <w:rsid w:val="00365626"/>
    <w:rsid w:val="00370999"/>
    <w:rsid w:val="0037277B"/>
    <w:rsid w:val="00375260"/>
    <w:rsid w:val="00375580"/>
    <w:rsid w:val="003756BB"/>
    <w:rsid w:val="003757B6"/>
    <w:rsid w:val="00376B3A"/>
    <w:rsid w:val="00383205"/>
    <w:rsid w:val="003855BA"/>
    <w:rsid w:val="00385C73"/>
    <w:rsid w:val="00390660"/>
    <w:rsid w:val="00390D44"/>
    <w:rsid w:val="00390ECF"/>
    <w:rsid w:val="0039396A"/>
    <w:rsid w:val="0039646F"/>
    <w:rsid w:val="00397ABE"/>
    <w:rsid w:val="003A5350"/>
    <w:rsid w:val="003A5E41"/>
    <w:rsid w:val="003A664F"/>
    <w:rsid w:val="003B20B8"/>
    <w:rsid w:val="003B4944"/>
    <w:rsid w:val="003B5604"/>
    <w:rsid w:val="003B58A3"/>
    <w:rsid w:val="003B5B1A"/>
    <w:rsid w:val="003C00AE"/>
    <w:rsid w:val="003C2126"/>
    <w:rsid w:val="003C4668"/>
    <w:rsid w:val="003C6BC3"/>
    <w:rsid w:val="003C71D8"/>
    <w:rsid w:val="003D464B"/>
    <w:rsid w:val="003D62BE"/>
    <w:rsid w:val="003D6A14"/>
    <w:rsid w:val="003E0662"/>
    <w:rsid w:val="003E20E5"/>
    <w:rsid w:val="003F043E"/>
    <w:rsid w:val="003F230A"/>
    <w:rsid w:val="003F27D4"/>
    <w:rsid w:val="003F712E"/>
    <w:rsid w:val="00403A95"/>
    <w:rsid w:val="00407E6E"/>
    <w:rsid w:val="004102B0"/>
    <w:rsid w:val="004116E9"/>
    <w:rsid w:val="0041178B"/>
    <w:rsid w:val="00412F3B"/>
    <w:rsid w:val="00414DBA"/>
    <w:rsid w:val="004178A7"/>
    <w:rsid w:val="00420E00"/>
    <w:rsid w:val="00420FAD"/>
    <w:rsid w:val="00421946"/>
    <w:rsid w:val="00421D97"/>
    <w:rsid w:val="00421F47"/>
    <w:rsid w:val="0043263F"/>
    <w:rsid w:val="004339B8"/>
    <w:rsid w:val="00435CE1"/>
    <w:rsid w:val="00435D39"/>
    <w:rsid w:val="00437D5E"/>
    <w:rsid w:val="004405F5"/>
    <w:rsid w:val="00440AFB"/>
    <w:rsid w:val="00441B7D"/>
    <w:rsid w:val="00441E2E"/>
    <w:rsid w:val="00443A34"/>
    <w:rsid w:val="00445BFD"/>
    <w:rsid w:val="0045012F"/>
    <w:rsid w:val="0045076C"/>
    <w:rsid w:val="00450A82"/>
    <w:rsid w:val="00451E2B"/>
    <w:rsid w:val="00451FB8"/>
    <w:rsid w:val="00455E81"/>
    <w:rsid w:val="00457244"/>
    <w:rsid w:val="00463ABD"/>
    <w:rsid w:val="004672C6"/>
    <w:rsid w:val="004678F0"/>
    <w:rsid w:val="004678FE"/>
    <w:rsid w:val="00467A06"/>
    <w:rsid w:val="00470EE9"/>
    <w:rsid w:val="0047193D"/>
    <w:rsid w:val="00472188"/>
    <w:rsid w:val="0047227B"/>
    <w:rsid w:val="0047774B"/>
    <w:rsid w:val="00477AB9"/>
    <w:rsid w:val="0048181D"/>
    <w:rsid w:val="00485081"/>
    <w:rsid w:val="0049247F"/>
    <w:rsid w:val="0049419D"/>
    <w:rsid w:val="00494A50"/>
    <w:rsid w:val="00494A57"/>
    <w:rsid w:val="0049527B"/>
    <w:rsid w:val="004B2B43"/>
    <w:rsid w:val="004B70A6"/>
    <w:rsid w:val="004C52E8"/>
    <w:rsid w:val="004C59DE"/>
    <w:rsid w:val="004D0077"/>
    <w:rsid w:val="004D106B"/>
    <w:rsid w:val="004D759C"/>
    <w:rsid w:val="004E199A"/>
    <w:rsid w:val="004E2F08"/>
    <w:rsid w:val="004E44D8"/>
    <w:rsid w:val="004F2283"/>
    <w:rsid w:val="0050600A"/>
    <w:rsid w:val="00510223"/>
    <w:rsid w:val="00511756"/>
    <w:rsid w:val="00521189"/>
    <w:rsid w:val="00521440"/>
    <w:rsid w:val="00521B60"/>
    <w:rsid w:val="0052338B"/>
    <w:rsid w:val="005244F1"/>
    <w:rsid w:val="00524993"/>
    <w:rsid w:val="005249A7"/>
    <w:rsid w:val="00526FC4"/>
    <w:rsid w:val="0053756C"/>
    <w:rsid w:val="0053774E"/>
    <w:rsid w:val="0054164A"/>
    <w:rsid w:val="0054167A"/>
    <w:rsid w:val="00543BCB"/>
    <w:rsid w:val="0054786F"/>
    <w:rsid w:val="00555530"/>
    <w:rsid w:val="005617EC"/>
    <w:rsid w:val="005643BB"/>
    <w:rsid w:val="00572DA5"/>
    <w:rsid w:val="005744BF"/>
    <w:rsid w:val="00575907"/>
    <w:rsid w:val="005769CB"/>
    <w:rsid w:val="00576FEC"/>
    <w:rsid w:val="0058035B"/>
    <w:rsid w:val="0058108B"/>
    <w:rsid w:val="00581987"/>
    <w:rsid w:val="00581FDE"/>
    <w:rsid w:val="005825EF"/>
    <w:rsid w:val="00590761"/>
    <w:rsid w:val="00591C2C"/>
    <w:rsid w:val="005A1D43"/>
    <w:rsid w:val="005A6591"/>
    <w:rsid w:val="005A720B"/>
    <w:rsid w:val="005B211D"/>
    <w:rsid w:val="005B38F6"/>
    <w:rsid w:val="005B4B80"/>
    <w:rsid w:val="005B554D"/>
    <w:rsid w:val="005B61EB"/>
    <w:rsid w:val="005B7663"/>
    <w:rsid w:val="005C334E"/>
    <w:rsid w:val="005C4042"/>
    <w:rsid w:val="005C40F1"/>
    <w:rsid w:val="005C4757"/>
    <w:rsid w:val="005D36DF"/>
    <w:rsid w:val="005D3F3B"/>
    <w:rsid w:val="005E3C41"/>
    <w:rsid w:val="005F1532"/>
    <w:rsid w:val="006023C6"/>
    <w:rsid w:val="00602411"/>
    <w:rsid w:val="006049B4"/>
    <w:rsid w:val="00611535"/>
    <w:rsid w:val="006135D3"/>
    <w:rsid w:val="00614763"/>
    <w:rsid w:val="00615099"/>
    <w:rsid w:val="00615997"/>
    <w:rsid w:val="006226FB"/>
    <w:rsid w:val="006237BF"/>
    <w:rsid w:val="00624606"/>
    <w:rsid w:val="00625B83"/>
    <w:rsid w:val="00626869"/>
    <w:rsid w:val="00627B92"/>
    <w:rsid w:val="00635F0B"/>
    <w:rsid w:val="00636589"/>
    <w:rsid w:val="00637850"/>
    <w:rsid w:val="00641277"/>
    <w:rsid w:val="00641878"/>
    <w:rsid w:val="00642319"/>
    <w:rsid w:val="006425DF"/>
    <w:rsid w:val="00643737"/>
    <w:rsid w:val="00643B77"/>
    <w:rsid w:val="006517B6"/>
    <w:rsid w:val="00651FAC"/>
    <w:rsid w:val="006607E2"/>
    <w:rsid w:val="006609AB"/>
    <w:rsid w:val="00667633"/>
    <w:rsid w:val="006717DB"/>
    <w:rsid w:val="00671C21"/>
    <w:rsid w:val="00676A24"/>
    <w:rsid w:val="00677445"/>
    <w:rsid w:val="006776F1"/>
    <w:rsid w:val="00690C2C"/>
    <w:rsid w:val="00693B59"/>
    <w:rsid w:val="006965DE"/>
    <w:rsid w:val="006A209E"/>
    <w:rsid w:val="006A650C"/>
    <w:rsid w:val="006A66DE"/>
    <w:rsid w:val="006B0876"/>
    <w:rsid w:val="006B5930"/>
    <w:rsid w:val="006B7F04"/>
    <w:rsid w:val="006C0FE6"/>
    <w:rsid w:val="006C34C5"/>
    <w:rsid w:val="006C3A5F"/>
    <w:rsid w:val="006C3CAE"/>
    <w:rsid w:val="006D1D2B"/>
    <w:rsid w:val="006D3F00"/>
    <w:rsid w:val="006D5386"/>
    <w:rsid w:val="006D5CB9"/>
    <w:rsid w:val="006E0C8B"/>
    <w:rsid w:val="006E24FB"/>
    <w:rsid w:val="006E4CE4"/>
    <w:rsid w:val="006E4DC7"/>
    <w:rsid w:val="006E519A"/>
    <w:rsid w:val="006F2649"/>
    <w:rsid w:val="006F3905"/>
    <w:rsid w:val="006F645C"/>
    <w:rsid w:val="00701F8B"/>
    <w:rsid w:val="0070476D"/>
    <w:rsid w:val="00704BF7"/>
    <w:rsid w:val="00705E14"/>
    <w:rsid w:val="0072466C"/>
    <w:rsid w:val="0073339A"/>
    <w:rsid w:val="007337AF"/>
    <w:rsid w:val="0073651B"/>
    <w:rsid w:val="00736BAC"/>
    <w:rsid w:val="00737420"/>
    <w:rsid w:val="00740A99"/>
    <w:rsid w:val="007415F0"/>
    <w:rsid w:val="007461FA"/>
    <w:rsid w:val="0075206B"/>
    <w:rsid w:val="0075326F"/>
    <w:rsid w:val="00754E66"/>
    <w:rsid w:val="00755673"/>
    <w:rsid w:val="00755CA6"/>
    <w:rsid w:val="007621E7"/>
    <w:rsid w:val="00763E57"/>
    <w:rsid w:val="00765DB9"/>
    <w:rsid w:val="007673D5"/>
    <w:rsid w:val="0077374D"/>
    <w:rsid w:val="007739B6"/>
    <w:rsid w:val="0077540C"/>
    <w:rsid w:val="00781C2B"/>
    <w:rsid w:val="00786D6B"/>
    <w:rsid w:val="0078739C"/>
    <w:rsid w:val="00787F1E"/>
    <w:rsid w:val="007923FB"/>
    <w:rsid w:val="007924F1"/>
    <w:rsid w:val="007936F3"/>
    <w:rsid w:val="00794A7A"/>
    <w:rsid w:val="007965BE"/>
    <w:rsid w:val="007A2D11"/>
    <w:rsid w:val="007B326F"/>
    <w:rsid w:val="007B43AD"/>
    <w:rsid w:val="007B6193"/>
    <w:rsid w:val="007C3609"/>
    <w:rsid w:val="007C7852"/>
    <w:rsid w:val="007D2F92"/>
    <w:rsid w:val="007D3D8F"/>
    <w:rsid w:val="007D3EA9"/>
    <w:rsid w:val="007E087F"/>
    <w:rsid w:val="007E2648"/>
    <w:rsid w:val="007E3615"/>
    <w:rsid w:val="007E7334"/>
    <w:rsid w:val="007E7F78"/>
    <w:rsid w:val="007F46F0"/>
    <w:rsid w:val="007F59BC"/>
    <w:rsid w:val="00801AEB"/>
    <w:rsid w:val="00805631"/>
    <w:rsid w:val="00805CE7"/>
    <w:rsid w:val="00807EA5"/>
    <w:rsid w:val="008128FB"/>
    <w:rsid w:val="0081424C"/>
    <w:rsid w:val="0081555A"/>
    <w:rsid w:val="00816078"/>
    <w:rsid w:val="008350BF"/>
    <w:rsid w:val="0083556B"/>
    <w:rsid w:val="00835788"/>
    <w:rsid w:val="008358D9"/>
    <w:rsid w:val="00843C8E"/>
    <w:rsid w:val="00845A98"/>
    <w:rsid w:val="00845D37"/>
    <w:rsid w:val="00854698"/>
    <w:rsid w:val="00861A65"/>
    <w:rsid w:val="00861A6D"/>
    <w:rsid w:val="008651EB"/>
    <w:rsid w:val="00874212"/>
    <w:rsid w:val="008756F7"/>
    <w:rsid w:val="00876374"/>
    <w:rsid w:val="00880054"/>
    <w:rsid w:val="00884F8E"/>
    <w:rsid w:val="008852E8"/>
    <w:rsid w:val="008908A5"/>
    <w:rsid w:val="008A275C"/>
    <w:rsid w:val="008A32CB"/>
    <w:rsid w:val="008A4D0C"/>
    <w:rsid w:val="008A51CE"/>
    <w:rsid w:val="008A6347"/>
    <w:rsid w:val="008C216F"/>
    <w:rsid w:val="008C2286"/>
    <w:rsid w:val="008C283E"/>
    <w:rsid w:val="008C348B"/>
    <w:rsid w:val="008D162D"/>
    <w:rsid w:val="008D3FCA"/>
    <w:rsid w:val="008D42CB"/>
    <w:rsid w:val="008E2376"/>
    <w:rsid w:val="008E3898"/>
    <w:rsid w:val="008E40E8"/>
    <w:rsid w:val="008E613A"/>
    <w:rsid w:val="008E737B"/>
    <w:rsid w:val="008F55DF"/>
    <w:rsid w:val="008F7E60"/>
    <w:rsid w:val="009018E7"/>
    <w:rsid w:val="00910047"/>
    <w:rsid w:val="00911C50"/>
    <w:rsid w:val="009123C6"/>
    <w:rsid w:val="00913FD4"/>
    <w:rsid w:val="00914524"/>
    <w:rsid w:val="009175D0"/>
    <w:rsid w:val="00921D9E"/>
    <w:rsid w:val="0092353F"/>
    <w:rsid w:val="0092379A"/>
    <w:rsid w:val="0092485A"/>
    <w:rsid w:val="009248FD"/>
    <w:rsid w:val="009441D2"/>
    <w:rsid w:val="009473FA"/>
    <w:rsid w:val="009502B9"/>
    <w:rsid w:val="009519C3"/>
    <w:rsid w:val="009577CB"/>
    <w:rsid w:val="00961009"/>
    <w:rsid w:val="00966385"/>
    <w:rsid w:val="00966985"/>
    <w:rsid w:val="009774E2"/>
    <w:rsid w:val="00981BB0"/>
    <w:rsid w:val="009831AA"/>
    <w:rsid w:val="00984F3D"/>
    <w:rsid w:val="009861E5"/>
    <w:rsid w:val="00994374"/>
    <w:rsid w:val="009A3869"/>
    <w:rsid w:val="009A5352"/>
    <w:rsid w:val="009A7345"/>
    <w:rsid w:val="009B1D97"/>
    <w:rsid w:val="009B4DBC"/>
    <w:rsid w:val="009B56D8"/>
    <w:rsid w:val="009B77F3"/>
    <w:rsid w:val="009C7DF3"/>
    <w:rsid w:val="009D0673"/>
    <w:rsid w:val="009D16BD"/>
    <w:rsid w:val="009D259A"/>
    <w:rsid w:val="009D478D"/>
    <w:rsid w:val="009D56AA"/>
    <w:rsid w:val="009D5974"/>
    <w:rsid w:val="009D7539"/>
    <w:rsid w:val="009E0ACB"/>
    <w:rsid w:val="009E3D50"/>
    <w:rsid w:val="009E497A"/>
    <w:rsid w:val="009E5E65"/>
    <w:rsid w:val="009F7B9A"/>
    <w:rsid w:val="00A01648"/>
    <w:rsid w:val="00A02D02"/>
    <w:rsid w:val="00A0300C"/>
    <w:rsid w:val="00A04510"/>
    <w:rsid w:val="00A04B57"/>
    <w:rsid w:val="00A06EF4"/>
    <w:rsid w:val="00A10772"/>
    <w:rsid w:val="00A15382"/>
    <w:rsid w:val="00A15AFF"/>
    <w:rsid w:val="00A24203"/>
    <w:rsid w:val="00A24793"/>
    <w:rsid w:val="00A24F37"/>
    <w:rsid w:val="00A26945"/>
    <w:rsid w:val="00A31AE7"/>
    <w:rsid w:val="00A323C9"/>
    <w:rsid w:val="00A35EC1"/>
    <w:rsid w:val="00A35F91"/>
    <w:rsid w:val="00A36069"/>
    <w:rsid w:val="00A414A7"/>
    <w:rsid w:val="00A4506E"/>
    <w:rsid w:val="00A477D9"/>
    <w:rsid w:val="00A47829"/>
    <w:rsid w:val="00A479D5"/>
    <w:rsid w:val="00A47C50"/>
    <w:rsid w:val="00A51797"/>
    <w:rsid w:val="00A52991"/>
    <w:rsid w:val="00A54605"/>
    <w:rsid w:val="00A56B8B"/>
    <w:rsid w:val="00A56F38"/>
    <w:rsid w:val="00A579B2"/>
    <w:rsid w:val="00A6749D"/>
    <w:rsid w:val="00A674E8"/>
    <w:rsid w:val="00A7179C"/>
    <w:rsid w:val="00A717A9"/>
    <w:rsid w:val="00A71FA9"/>
    <w:rsid w:val="00A80909"/>
    <w:rsid w:val="00A84C17"/>
    <w:rsid w:val="00A85701"/>
    <w:rsid w:val="00A85773"/>
    <w:rsid w:val="00A9127F"/>
    <w:rsid w:val="00A96449"/>
    <w:rsid w:val="00A974D4"/>
    <w:rsid w:val="00A97DD2"/>
    <w:rsid w:val="00AA20C7"/>
    <w:rsid w:val="00AA23C2"/>
    <w:rsid w:val="00AA2690"/>
    <w:rsid w:val="00AA7999"/>
    <w:rsid w:val="00AA7D4D"/>
    <w:rsid w:val="00AB2461"/>
    <w:rsid w:val="00AB5800"/>
    <w:rsid w:val="00AB5F15"/>
    <w:rsid w:val="00AB701C"/>
    <w:rsid w:val="00AB7A84"/>
    <w:rsid w:val="00AC2915"/>
    <w:rsid w:val="00AC3B98"/>
    <w:rsid w:val="00AC3DBF"/>
    <w:rsid w:val="00AC7C01"/>
    <w:rsid w:val="00AC7C20"/>
    <w:rsid w:val="00AD0D3B"/>
    <w:rsid w:val="00AD4D29"/>
    <w:rsid w:val="00AD4F65"/>
    <w:rsid w:val="00AD6B63"/>
    <w:rsid w:val="00AE2EE6"/>
    <w:rsid w:val="00AE47B1"/>
    <w:rsid w:val="00AF2058"/>
    <w:rsid w:val="00AF2B92"/>
    <w:rsid w:val="00AF3B96"/>
    <w:rsid w:val="00AF4625"/>
    <w:rsid w:val="00AF65D7"/>
    <w:rsid w:val="00B01006"/>
    <w:rsid w:val="00B017A1"/>
    <w:rsid w:val="00B0577C"/>
    <w:rsid w:val="00B06D2C"/>
    <w:rsid w:val="00B20484"/>
    <w:rsid w:val="00B22F76"/>
    <w:rsid w:val="00B26474"/>
    <w:rsid w:val="00B27CF0"/>
    <w:rsid w:val="00B32CEF"/>
    <w:rsid w:val="00B353B5"/>
    <w:rsid w:val="00B4361F"/>
    <w:rsid w:val="00B46F57"/>
    <w:rsid w:val="00B5692E"/>
    <w:rsid w:val="00B62291"/>
    <w:rsid w:val="00B677DD"/>
    <w:rsid w:val="00B67870"/>
    <w:rsid w:val="00B72C5A"/>
    <w:rsid w:val="00B742DB"/>
    <w:rsid w:val="00B756BE"/>
    <w:rsid w:val="00B8037B"/>
    <w:rsid w:val="00B82BAF"/>
    <w:rsid w:val="00B8513D"/>
    <w:rsid w:val="00B878A3"/>
    <w:rsid w:val="00BA4993"/>
    <w:rsid w:val="00BA7A2F"/>
    <w:rsid w:val="00BB393D"/>
    <w:rsid w:val="00BB4F89"/>
    <w:rsid w:val="00BB58C9"/>
    <w:rsid w:val="00BB5CAE"/>
    <w:rsid w:val="00BC1147"/>
    <w:rsid w:val="00BC197C"/>
    <w:rsid w:val="00BC60E8"/>
    <w:rsid w:val="00BD2BB7"/>
    <w:rsid w:val="00BF2B95"/>
    <w:rsid w:val="00BF3C97"/>
    <w:rsid w:val="00C04259"/>
    <w:rsid w:val="00C0630E"/>
    <w:rsid w:val="00C07B67"/>
    <w:rsid w:val="00C1407A"/>
    <w:rsid w:val="00C1575A"/>
    <w:rsid w:val="00C15F55"/>
    <w:rsid w:val="00C17F36"/>
    <w:rsid w:val="00C20F4E"/>
    <w:rsid w:val="00C22A24"/>
    <w:rsid w:val="00C243E4"/>
    <w:rsid w:val="00C2686F"/>
    <w:rsid w:val="00C26A95"/>
    <w:rsid w:val="00C26D7B"/>
    <w:rsid w:val="00C3081A"/>
    <w:rsid w:val="00C31108"/>
    <w:rsid w:val="00C32562"/>
    <w:rsid w:val="00C371AD"/>
    <w:rsid w:val="00C40166"/>
    <w:rsid w:val="00C4020B"/>
    <w:rsid w:val="00C40EF1"/>
    <w:rsid w:val="00C41A04"/>
    <w:rsid w:val="00C43A4E"/>
    <w:rsid w:val="00C46B7B"/>
    <w:rsid w:val="00C50248"/>
    <w:rsid w:val="00C5158D"/>
    <w:rsid w:val="00C5339F"/>
    <w:rsid w:val="00C53C56"/>
    <w:rsid w:val="00C578A4"/>
    <w:rsid w:val="00C616DC"/>
    <w:rsid w:val="00C712E7"/>
    <w:rsid w:val="00C71F2C"/>
    <w:rsid w:val="00C75836"/>
    <w:rsid w:val="00C77146"/>
    <w:rsid w:val="00C84A49"/>
    <w:rsid w:val="00C90338"/>
    <w:rsid w:val="00C953C9"/>
    <w:rsid w:val="00C95D21"/>
    <w:rsid w:val="00C96A81"/>
    <w:rsid w:val="00CA208F"/>
    <w:rsid w:val="00CA7AA9"/>
    <w:rsid w:val="00CA7ACD"/>
    <w:rsid w:val="00CB271F"/>
    <w:rsid w:val="00CB50BE"/>
    <w:rsid w:val="00CB5D8E"/>
    <w:rsid w:val="00CC1CD3"/>
    <w:rsid w:val="00CC29C0"/>
    <w:rsid w:val="00CC3CAF"/>
    <w:rsid w:val="00CC3D3A"/>
    <w:rsid w:val="00CC7F4F"/>
    <w:rsid w:val="00CD0480"/>
    <w:rsid w:val="00CD1EFF"/>
    <w:rsid w:val="00CD657B"/>
    <w:rsid w:val="00CD7181"/>
    <w:rsid w:val="00CE13B7"/>
    <w:rsid w:val="00CE4079"/>
    <w:rsid w:val="00CE509B"/>
    <w:rsid w:val="00CE53EB"/>
    <w:rsid w:val="00CE7653"/>
    <w:rsid w:val="00CF1724"/>
    <w:rsid w:val="00CF4C14"/>
    <w:rsid w:val="00D0094C"/>
    <w:rsid w:val="00D034C2"/>
    <w:rsid w:val="00D04562"/>
    <w:rsid w:val="00D059A9"/>
    <w:rsid w:val="00D05F36"/>
    <w:rsid w:val="00D0766F"/>
    <w:rsid w:val="00D12168"/>
    <w:rsid w:val="00D137DA"/>
    <w:rsid w:val="00D149F8"/>
    <w:rsid w:val="00D25EEF"/>
    <w:rsid w:val="00D306A8"/>
    <w:rsid w:val="00D3157F"/>
    <w:rsid w:val="00D33671"/>
    <w:rsid w:val="00D3649E"/>
    <w:rsid w:val="00D36D1B"/>
    <w:rsid w:val="00D44D8B"/>
    <w:rsid w:val="00D4503B"/>
    <w:rsid w:val="00D4668D"/>
    <w:rsid w:val="00D47135"/>
    <w:rsid w:val="00D50D90"/>
    <w:rsid w:val="00D5143D"/>
    <w:rsid w:val="00D52C2C"/>
    <w:rsid w:val="00D54E36"/>
    <w:rsid w:val="00D552F3"/>
    <w:rsid w:val="00D60D62"/>
    <w:rsid w:val="00D60DBC"/>
    <w:rsid w:val="00D6219A"/>
    <w:rsid w:val="00D66957"/>
    <w:rsid w:val="00D66B23"/>
    <w:rsid w:val="00D71077"/>
    <w:rsid w:val="00D746D9"/>
    <w:rsid w:val="00D75931"/>
    <w:rsid w:val="00D81661"/>
    <w:rsid w:val="00D822EB"/>
    <w:rsid w:val="00D86D12"/>
    <w:rsid w:val="00D907E9"/>
    <w:rsid w:val="00D91A4D"/>
    <w:rsid w:val="00D95407"/>
    <w:rsid w:val="00D9639F"/>
    <w:rsid w:val="00D96783"/>
    <w:rsid w:val="00D96870"/>
    <w:rsid w:val="00DA23C0"/>
    <w:rsid w:val="00DA3CCB"/>
    <w:rsid w:val="00DA3E7A"/>
    <w:rsid w:val="00DB21F6"/>
    <w:rsid w:val="00DB6982"/>
    <w:rsid w:val="00DC1819"/>
    <w:rsid w:val="00DC5306"/>
    <w:rsid w:val="00DC56AB"/>
    <w:rsid w:val="00DC5CA6"/>
    <w:rsid w:val="00DD155C"/>
    <w:rsid w:val="00DD716E"/>
    <w:rsid w:val="00DD7FE1"/>
    <w:rsid w:val="00DE183C"/>
    <w:rsid w:val="00DF1D48"/>
    <w:rsid w:val="00DF2AB5"/>
    <w:rsid w:val="00DF2BD1"/>
    <w:rsid w:val="00DF4E42"/>
    <w:rsid w:val="00DF5F3F"/>
    <w:rsid w:val="00DF6C3D"/>
    <w:rsid w:val="00DF780B"/>
    <w:rsid w:val="00E01D0B"/>
    <w:rsid w:val="00E02193"/>
    <w:rsid w:val="00E07DEB"/>
    <w:rsid w:val="00E134CB"/>
    <w:rsid w:val="00E17B31"/>
    <w:rsid w:val="00E21894"/>
    <w:rsid w:val="00E24B4F"/>
    <w:rsid w:val="00E32D15"/>
    <w:rsid w:val="00E32E73"/>
    <w:rsid w:val="00E339B3"/>
    <w:rsid w:val="00E360DF"/>
    <w:rsid w:val="00E36EA5"/>
    <w:rsid w:val="00E41625"/>
    <w:rsid w:val="00E43591"/>
    <w:rsid w:val="00E51269"/>
    <w:rsid w:val="00E51A7F"/>
    <w:rsid w:val="00E54157"/>
    <w:rsid w:val="00E6262F"/>
    <w:rsid w:val="00E7746A"/>
    <w:rsid w:val="00E77A21"/>
    <w:rsid w:val="00E80CD3"/>
    <w:rsid w:val="00E8651A"/>
    <w:rsid w:val="00E87378"/>
    <w:rsid w:val="00E92921"/>
    <w:rsid w:val="00E95531"/>
    <w:rsid w:val="00E955A7"/>
    <w:rsid w:val="00E97B08"/>
    <w:rsid w:val="00EA02DF"/>
    <w:rsid w:val="00EA0EBC"/>
    <w:rsid w:val="00EA1405"/>
    <w:rsid w:val="00EA1F1B"/>
    <w:rsid w:val="00EA578E"/>
    <w:rsid w:val="00EA69F8"/>
    <w:rsid w:val="00EB0F34"/>
    <w:rsid w:val="00EB2119"/>
    <w:rsid w:val="00EB2164"/>
    <w:rsid w:val="00EB6413"/>
    <w:rsid w:val="00EC2BA5"/>
    <w:rsid w:val="00EC2CB3"/>
    <w:rsid w:val="00EC660F"/>
    <w:rsid w:val="00ED211E"/>
    <w:rsid w:val="00ED227B"/>
    <w:rsid w:val="00ED29D5"/>
    <w:rsid w:val="00ED5BB6"/>
    <w:rsid w:val="00ED65D2"/>
    <w:rsid w:val="00ED7887"/>
    <w:rsid w:val="00EE331A"/>
    <w:rsid w:val="00EF313D"/>
    <w:rsid w:val="00EF411F"/>
    <w:rsid w:val="00EF7C50"/>
    <w:rsid w:val="00F00424"/>
    <w:rsid w:val="00F03A2B"/>
    <w:rsid w:val="00F0456D"/>
    <w:rsid w:val="00F04576"/>
    <w:rsid w:val="00F07886"/>
    <w:rsid w:val="00F1000E"/>
    <w:rsid w:val="00F11C9D"/>
    <w:rsid w:val="00F14E90"/>
    <w:rsid w:val="00F153D4"/>
    <w:rsid w:val="00F15C23"/>
    <w:rsid w:val="00F15F94"/>
    <w:rsid w:val="00F202AC"/>
    <w:rsid w:val="00F21E37"/>
    <w:rsid w:val="00F2380A"/>
    <w:rsid w:val="00F250FF"/>
    <w:rsid w:val="00F271E2"/>
    <w:rsid w:val="00F3406A"/>
    <w:rsid w:val="00F34318"/>
    <w:rsid w:val="00F347C8"/>
    <w:rsid w:val="00F34A87"/>
    <w:rsid w:val="00F44379"/>
    <w:rsid w:val="00F44C73"/>
    <w:rsid w:val="00F50173"/>
    <w:rsid w:val="00F5198A"/>
    <w:rsid w:val="00F536B1"/>
    <w:rsid w:val="00F54FD0"/>
    <w:rsid w:val="00F64E4E"/>
    <w:rsid w:val="00F665A4"/>
    <w:rsid w:val="00F75063"/>
    <w:rsid w:val="00F80656"/>
    <w:rsid w:val="00F83607"/>
    <w:rsid w:val="00F858A9"/>
    <w:rsid w:val="00F869C2"/>
    <w:rsid w:val="00F86DF7"/>
    <w:rsid w:val="00F9087E"/>
    <w:rsid w:val="00F90DEC"/>
    <w:rsid w:val="00F91C3F"/>
    <w:rsid w:val="00F931C5"/>
    <w:rsid w:val="00F94773"/>
    <w:rsid w:val="00F9537A"/>
    <w:rsid w:val="00F957F5"/>
    <w:rsid w:val="00F97A43"/>
    <w:rsid w:val="00FA2F4C"/>
    <w:rsid w:val="00FA54F4"/>
    <w:rsid w:val="00FB11A3"/>
    <w:rsid w:val="00FB14C0"/>
    <w:rsid w:val="00FB5089"/>
    <w:rsid w:val="00FB5860"/>
    <w:rsid w:val="00FB5D0B"/>
    <w:rsid w:val="00FB5E87"/>
    <w:rsid w:val="00FB66E6"/>
    <w:rsid w:val="00FC3A4E"/>
    <w:rsid w:val="00FC3B19"/>
    <w:rsid w:val="00FC4D31"/>
    <w:rsid w:val="00FD1547"/>
    <w:rsid w:val="00FD1DB0"/>
    <w:rsid w:val="00FD6B1B"/>
    <w:rsid w:val="00FD7E9B"/>
    <w:rsid w:val="00FE478C"/>
    <w:rsid w:val="00FF1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B0EA"/>
  <w15:docId w15:val="{05A38A61-095A-4934-8B61-C3FC114C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B72"/>
    <w:pPr>
      <w:ind w:left="720"/>
      <w:contextualSpacing/>
    </w:pPr>
  </w:style>
  <w:style w:type="paragraph" w:styleId="Header">
    <w:name w:val="header"/>
    <w:basedOn w:val="Normal"/>
    <w:link w:val="HeaderChar"/>
    <w:uiPriority w:val="99"/>
    <w:unhideWhenUsed/>
    <w:rsid w:val="007D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92"/>
  </w:style>
  <w:style w:type="paragraph" w:styleId="Footer">
    <w:name w:val="footer"/>
    <w:basedOn w:val="Normal"/>
    <w:link w:val="FooterChar"/>
    <w:uiPriority w:val="99"/>
    <w:unhideWhenUsed/>
    <w:rsid w:val="007D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92"/>
  </w:style>
  <w:style w:type="paragraph" w:styleId="BalloonText">
    <w:name w:val="Balloon Text"/>
    <w:basedOn w:val="Normal"/>
    <w:link w:val="BalloonTextChar"/>
    <w:uiPriority w:val="99"/>
    <w:semiHidden/>
    <w:unhideWhenUsed/>
    <w:rsid w:val="004D0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077"/>
    <w:rPr>
      <w:rFonts w:ascii="Tahoma" w:hAnsi="Tahoma" w:cs="Tahoma"/>
      <w:sz w:val="16"/>
      <w:szCs w:val="16"/>
    </w:rPr>
  </w:style>
  <w:style w:type="character" w:styleId="CommentReference">
    <w:name w:val="annotation reference"/>
    <w:basedOn w:val="DefaultParagraphFont"/>
    <w:uiPriority w:val="99"/>
    <w:semiHidden/>
    <w:unhideWhenUsed/>
    <w:rsid w:val="00AA2690"/>
    <w:rPr>
      <w:sz w:val="16"/>
      <w:szCs w:val="16"/>
    </w:rPr>
  </w:style>
  <w:style w:type="paragraph" w:styleId="CommentText">
    <w:name w:val="annotation text"/>
    <w:basedOn w:val="Normal"/>
    <w:link w:val="CommentTextChar"/>
    <w:uiPriority w:val="99"/>
    <w:semiHidden/>
    <w:unhideWhenUsed/>
    <w:rsid w:val="00AA2690"/>
    <w:pPr>
      <w:spacing w:line="240" w:lineRule="auto"/>
    </w:pPr>
    <w:rPr>
      <w:sz w:val="20"/>
      <w:szCs w:val="20"/>
    </w:rPr>
  </w:style>
  <w:style w:type="character" w:customStyle="1" w:styleId="CommentTextChar">
    <w:name w:val="Comment Text Char"/>
    <w:basedOn w:val="DefaultParagraphFont"/>
    <w:link w:val="CommentText"/>
    <w:uiPriority w:val="99"/>
    <w:semiHidden/>
    <w:rsid w:val="00AA2690"/>
    <w:rPr>
      <w:sz w:val="20"/>
      <w:szCs w:val="20"/>
    </w:rPr>
  </w:style>
  <w:style w:type="paragraph" w:styleId="CommentSubject">
    <w:name w:val="annotation subject"/>
    <w:basedOn w:val="CommentText"/>
    <w:next w:val="CommentText"/>
    <w:link w:val="CommentSubjectChar"/>
    <w:uiPriority w:val="99"/>
    <w:semiHidden/>
    <w:unhideWhenUsed/>
    <w:rsid w:val="00AA2690"/>
    <w:rPr>
      <w:b/>
      <w:bCs/>
    </w:rPr>
  </w:style>
  <w:style w:type="character" w:customStyle="1" w:styleId="CommentSubjectChar">
    <w:name w:val="Comment Subject Char"/>
    <w:basedOn w:val="CommentTextChar"/>
    <w:link w:val="CommentSubject"/>
    <w:uiPriority w:val="99"/>
    <w:semiHidden/>
    <w:rsid w:val="00AA2690"/>
    <w:rPr>
      <w:b/>
      <w:bCs/>
      <w:sz w:val="20"/>
      <w:szCs w:val="20"/>
    </w:rPr>
  </w:style>
  <w:style w:type="paragraph" w:styleId="NormalWeb">
    <w:name w:val="Normal (Web)"/>
    <w:basedOn w:val="Normal"/>
    <w:uiPriority w:val="99"/>
    <w:semiHidden/>
    <w:unhideWhenUsed/>
    <w:rsid w:val="00966985"/>
    <w:pPr>
      <w:spacing w:after="0" w:line="240" w:lineRule="auto"/>
    </w:pPr>
    <w:rPr>
      <w:rFonts w:ascii="Times New Roman" w:hAnsi="Times New Roman" w:cs="Times New Roman"/>
      <w:sz w:val="24"/>
      <w:szCs w:val="24"/>
    </w:rPr>
  </w:style>
  <w:style w:type="paragraph" w:styleId="PlainText">
    <w:name w:val="Plain Text"/>
    <w:basedOn w:val="Normal"/>
    <w:link w:val="PlainTextChar"/>
    <w:uiPriority w:val="99"/>
    <w:unhideWhenUsed/>
    <w:rsid w:val="002B359E"/>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2B359E"/>
    <w:rPr>
      <w:rFonts w:ascii="Calibri" w:hAnsi="Calibri" w:cs="Calibri"/>
    </w:rPr>
  </w:style>
  <w:style w:type="character" w:styleId="Hyperlink">
    <w:name w:val="Hyperlink"/>
    <w:basedOn w:val="DefaultParagraphFont"/>
    <w:uiPriority w:val="99"/>
    <w:unhideWhenUsed/>
    <w:rsid w:val="00EE33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7827">
      <w:bodyDiv w:val="1"/>
      <w:marLeft w:val="0"/>
      <w:marRight w:val="0"/>
      <w:marTop w:val="0"/>
      <w:marBottom w:val="0"/>
      <w:divBdr>
        <w:top w:val="none" w:sz="0" w:space="0" w:color="auto"/>
        <w:left w:val="none" w:sz="0" w:space="0" w:color="auto"/>
        <w:bottom w:val="none" w:sz="0" w:space="0" w:color="auto"/>
        <w:right w:val="none" w:sz="0" w:space="0" w:color="auto"/>
      </w:divBdr>
    </w:div>
    <w:div w:id="16084048">
      <w:bodyDiv w:val="1"/>
      <w:marLeft w:val="0"/>
      <w:marRight w:val="0"/>
      <w:marTop w:val="0"/>
      <w:marBottom w:val="0"/>
      <w:divBdr>
        <w:top w:val="none" w:sz="0" w:space="0" w:color="auto"/>
        <w:left w:val="none" w:sz="0" w:space="0" w:color="auto"/>
        <w:bottom w:val="none" w:sz="0" w:space="0" w:color="auto"/>
        <w:right w:val="none" w:sz="0" w:space="0" w:color="auto"/>
      </w:divBdr>
    </w:div>
    <w:div w:id="77680359">
      <w:bodyDiv w:val="1"/>
      <w:marLeft w:val="0"/>
      <w:marRight w:val="0"/>
      <w:marTop w:val="0"/>
      <w:marBottom w:val="0"/>
      <w:divBdr>
        <w:top w:val="none" w:sz="0" w:space="0" w:color="auto"/>
        <w:left w:val="none" w:sz="0" w:space="0" w:color="auto"/>
        <w:bottom w:val="none" w:sz="0" w:space="0" w:color="auto"/>
        <w:right w:val="none" w:sz="0" w:space="0" w:color="auto"/>
      </w:divBdr>
    </w:div>
    <w:div w:id="96600201">
      <w:bodyDiv w:val="1"/>
      <w:marLeft w:val="0"/>
      <w:marRight w:val="0"/>
      <w:marTop w:val="0"/>
      <w:marBottom w:val="0"/>
      <w:divBdr>
        <w:top w:val="none" w:sz="0" w:space="0" w:color="auto"/>
        <w:left w:val="none" w:sz="0" w:space="0" w:color="auto"/>
        <w:bottom w:val="none" w:sz="0" w:space="0" w:color="auto"/>
        <w:right w:val="none" w:sz="0" w:space="0" w:color="auto"/>
      </w:divBdr>
    </w:div>
    <w:div w:id="266431025">
      <w:bodyDiv w:val="1"/>
      <w:marLeft w:val="0"/>
      <w:marRight w:val="0"/>
      <w:marTop w:val="0"/>
      <w:marBottom w:val="0"/>
      <w:divBdr>
        <w:top w:val="none" w:sz="0" w:space="0" w:color="auto"/>
        <w:left w:val="none" w:sz="0" w:space="0" w:color="auto"/>
        <w:bottom w:val="none" w:sz="0" w:space="0" w:color="auto"/>
        <w:right w:val="none" w:sz="0" w:space="0" w:color="auto"/>
      </w:divBdr>
    </w:div>
    <w:div w:id="346949227">
      <w:bodyDiv w:val="1"/>
      <w:marLeft w:val="0"/>
      <w:marRight w:val="0"/>
      <w:marTop w:val="0"/>
      <w:marBottom w:val="0"/>
      <w:divBdr>
        <w:top w:val="none" w:sz="0" w:space="0" w:color="auto"/>
        <w:left w:val="none" w:sz="0" w:space="0" w:color="auto"/>
        <w:bottom w:val="none" w:sz="0" w:space="0" w:color="auto"/>
        <w:right w:val="none" w:sz="0" w:space="0" w:color="auto"/>
      </w:divBdr>
    </w:div>
    <w:div w:id="1078946587">
      <w:bodyDiv w:val="1"/>
      <w:marLeft w:val="0"/>
      <w:marRight w:val="0"/>
      <w:marTop w:val="0"/>
      <w:marBottom w:val="0"/>
      <w:divBdr>
        <w:top w:val="none" w:sz="0" w:space="0" w:color="auto"/>
        <w:left w:val="none" w:sz="0" w:space="0" w:color="auto"/>
        <w:bottom w:val="none" w:sz="0" w:space="0" w:color="auto"/>
        <w:right w:val="none" w:sz="0" w:space="0" w:color="auto"/>
      </w:divBdr>
      <w:divsChild>
        <w:div w:id="1919361285">
          <w:marLeft w:val="547"/>
          <w:marRight w:val="0"/>
          <w:marTop w:val="200"/>
          <w:marBottom w:val="0"/>
          <w:divBdr>
            <w:top w:val="none" w:sz="0" w:space="0" w:color="auto"/>
            <w:left w:val="none" w:sz="0" w:space="0" w:color="auto"/>
            <w:bottom w:val="none" w:sz="0" w:space="0" w:color="auto"/>
            <w:right w:val="none" w:sz="0" w:space="0" w:color="auto"/>
          </w:divBdr>
        </w:div>
        <w:div w:id="550534725">
          <w:marLeft w:val="547"/>
          <w:marRight w:val="0"/>
          <w:marTop w:val="200"/>
          <w:marBottom w:val="0"/>
          <w:divBdr>
            <w:top w:val="none" w:sz="0" w:space="0" w:color="auto"/>
            <w:left w:val="none" w:sz="0" w:space="0" w:color="auto"/>
            <w:bottom w:val="none" w:sz="0" w:space="0" w:color="auto"/>
            <w:right w:val="none" w:sz="0" w:space="0" w:color="auto"/>
          </w:divBdr>
        </w:div>
        <w:div w:id="931204348">
          <w:marLeft w:val="547"/>
          <w:marRight w:val="0"/>
          <w:marTop w:val="200"/>
          <w:marBottom w:val="0"/>
          <w:divBdr>
            <w:top w:val="none" w:sz="0" w:space="0" w:color="auto"/>
            <w:left w:val="none" w:sz="0" w:space="0" w:color="auto"/>
            <w:bottom w:val="none" w:sz="0" w:space="0" w:color="auto"/>
            <w:right w:val="none" w:sz="0" w:space="0" w:color="auto"/>
          </w:divBdr>
        </w:div>
        <w:div w:id="564414770">
          <w:marLeft w:val="547"/>
          <w:marRight w:val="0"/>
          <w:marTop w:val="200"/>
          <w:marBottom w:val="0"/>
          <w:divBdr>
            <w:top w:val="none" w:sz="0" w:space="0" w:color="auto"/>
            <w:left w:val="none" w:sz="0" w:space="0" w:color="auto"/>
            <w:bottom w:val="none" w:sz="0" w:space="0" w:color="auto"/>
            <w:right w:val="none" w:sz="0" w:space="0" w:color="auto"/>
          </w:divBdr>
        </w:div>
        <w:div w:id="510149870">
          <w:marLeft w:val="547"/>
          <w:marRight w:val="0"/>
          <w:marTop w:val="200"/>
          <w:marBottom w:val="0"/>
          <w:divBdr>
            <w:top w:val="none" w:sz="0" w:space="0" w:color="auto"/>
            <w:left w:val="none" w:sz="0" w:space="0" w:color="auto"/>
            <w:bottom w:val="none" w:sz="0" w:space="0" w:color="auto"/>
            <w:right w:val="none" w:sz="0" w:space="0" w:color="auto"/>
          </w:divBdr>
        </w:div>
        <w:div w:id="1362170096">
          <w:marLeft w:val="547"/>
          <w:marRight w:val="0"/>
          <w:marTop w:val="200"/>
          <w:marBottom w:val="0"/>
          <w:divBdr>
            <w:top w:val="none" w:sz="0" w:space="0" w:color="auto"/>
            <w:left w:val="none" w:sz="0" w:space="0" w:color="auto"/>
            <w:bottom w:val="none" w:sz="0" w:space="0" w:color="auto"/>
            <w:right w:val="none" w:sz="0" w:space="0" w:color="auto"/>
          </w:divBdr>
        </w:div>
        <w:div w:id="356319911">
          <w:marLeft w:val="547"/>
          <w:marRight w:val="0"/>
          <w:marTop w:val="200"/>
          <w:marBottom w:val="0"/>
          <w:divBdr>
            <w:top w:val="none" w:sz="0" w:space="0" w:color="auto"/>
            <w:left w:val="none" w:sz="0" w:space="0" w:color="auto"/>
            <w:bottom w:val="none" w:sz="0" w:space="0" w:color="auto"/>
            <w:right w:val="none" w:sz="0" w:space="0" w:color="auto"/>
          </w:divBdr>
        </w:div>
      </w:divsChild>
    </w:div>
    <w:div w:id="1174875534">
      <w:bodyDiv w:val="1"/>
      <w:marLeft w:val="0"/>
      <w:marRight w:val="0"/>
      <w:marTop w:val="0"/>
      <w:marBottom w:val="0"/>
      <w:divBdr>
        <w:top w:val="none" w:sz="0" w:space="0" w:color="auto"/>
        <w:left w:val="none" w:sz="0" w:space="0" w:color="auto"/>
        <w:bottom w:val="none" w:sz="0" w:space="0" w:color="auto"/>
        <w:right w:val="none" w:sz="0" w:space="0" w:color="auto"/>
      </w:divBdr>
    </w:div>
    <w:div w:id="1255165637">
      <w:bodyDiv w:val="1"/>
      <w:marLeft w:val="0"/>
      <w:marRight w:val="0"/>
      <w:marTop w:val="0"/>
      <w:marBottom w:val="0"/>
      <w:divBdr>
        <w:top w:val="none" w:sz="0" w:space="0" w:color="auto"/>
        <w:left w:val="none" w:sz="0" w:space="0" w:color="auto"/>
        <w:bottom w:val="none" w:sz="0" w:space="0" w:color="auto"/>
        <w:right w:val="none" w:sz="0" w:space="0" w:color="auto"/>
      </w:divBdr>
    </w:div>
    <w:div w:id="1298755336">
      <w:bodyDiv w:val="1"/>
      <w:marLeft w:val="0"/>
      <w:marRight w:val="0"/>
      <w:marTop w:val="0"/>
      <w:marBottom w:val="0"/>
      <w:divBdr>
        <w:top w:val="none" w:sz="0" w:space="0" w:color="auto"/>
        <w:left w:val="none" w:sz="0" w:space="0" w:color="auto"/>
        <w:bottom w:val="none" w:sz="0" w:space="0" w:color="auto"/>
        <w:right w:val="none" w:sz="0" w:space="0" w:color="auto"/>
      </w:divBdr>
    </w:div>
    <w:div w:id="1406606164">
      <w:bodyDiv w:val="1"/>
      <w:marLeft w:val="0"/>
      <w:marRight w:val="0"/>
      <w:marTop w:val="0"/>
      <w:marBottom w:val="0"/>
      <w:divBdr>
        <w:top w:val="none" w:sz="0" w:space="0" w:color="auto"/>
        <w:left w:val="none" w:sz="0" w:space="0" w:color="auto"/>
        <w:bottom w:val="none" w:sz="0" w:space="0" w:color="auto"/>
        <w:right w:val="none" w:sz="0" w:space="0" w:color="auto"/>
      </w:divBdr>
    </w:div>
    <w:div w:id="1438594700">
      <w:bodyDiv w:val="1"/>
      <w:marLeft w:val="0"/>
      <w:marRight w:val="0"/>
      <w:marTop w:val="0"/>
      <w:marBottom w:val="0"/>
      <w:divBdr>
        <w:top w:val="none" w:sz="0" w:space="0" w:color="auto"/>
        <w:left w:val="none" w:sz="0" w:space="0" w:color="auto"/>
        <w:bottom w:val="none" w:sz="0" w:space="0" w:color="auto"/>
        <w:right w:val="none" w:sz="0" w:space="0" w:color="auto"/>
      </w:divBdr>
    </w:div>
    <w:div w:id="1477604342">
      <w:bodyDiv w:val="1"/>
      <w:marLeft w:val="0"/>
      <w:marRight w:val="0"/>
      <w:marTop w:val="0"/>
      <w:marBottom w:val="0"/>
      <w:divBdr>
        <w:top w:val="none" w:sz="0" w:space="0" w:color="auto"/>
        <w:left w:val="none" w:sz="0" w:space="0" w:color="auto"/>
        <w:bottom w:val="none" w:sz="0" w:space="0" w:color="auto"/>
        <w:right w:val="none" w:sz="0" w:space="0" w:color="auto"/>
      </w:divBdr>
    </w:div>
    <w:div w:id="1745688459">
      <w:bodyDiv w:val="1"/>
      <w:marLeft w:val="0"/>
      <w:marRight w:val="0"/>
      <w:marTop w:val="0"/>
      <w:marBottom w:val="0"/>
      <w:divBdr>
        <w:top w:val="none" w:sz="0" w:space="0" w:color="auto"/>
        <w:left w:val="none" w:sz="0" w:space="0" w:color="auto"/>
        <w:bottom w:val="none" w:sz="0" w:space="0" w:color="auto"/>
        <w:right w:val="none" w:sz="0" w:space="0" w:color="auto"/>
      </w:divBdr>
    </w:div>
    <w:div w:id="1817336708">
      <w:bodyDiv w:val="1"/>
      <w:marLeft w:val="0"/>
      <w:marRight w:val="0"/>
      <w:marTop w:val="0"/>
      <w:marBottom w:val="0"/>
      <w:divBdr>
        <w:top w:val="none" w:sz="0" w:space="0" w:color="auto"/>
        <w:left w:val="none" w:sz="0" w:space="0" w:color="auto"/>
        <w:bottom w:val="none" w:sz="0" w:space="0" w:color="auto"/>
        <w:right w:val="none" w:sz="0" w:space="0" w:color="auto"/>
      </w:divBdr>
    </w:div>
    <w:div w:id="1935626397">
      <w:bodyDiv w:val="1"/>
      <w:marLeft w:val="0"/>
      <w:marRight w:val="0"/>
      <w:marTop w:val="0"/>
      <w:marBottom w:val="0"/>
      <w:divBdr>
        <w:top w:val="none" w:sz="0" w:space="0" w:color="auto"/>
        <w:left w:val="none" w:sz="0" w:space="0" w:color="auto"/>
        <w:bottom w:val="none" w:sz="0" w:space="0" w:color="auto"/>
        <w:right w:val="none" w:sz="0" w:space="0" w:color="auto"/>
      </w:divBdr>
    </w:div>
    <w:div w:id="1945575206">
      <w:bodyDiv w:val="1"/>
      <w:marLeft w:val="0"/>
      <w:marRight w:val="0"/>
      <w:marTop w:val="0"/>
      <w:marBottom w:val="0"/>
      <w:divBdr>
        <w:top w:val="none" w:sz="0" w:space="0" w:color="auto"/>
        <w:left w:val="none" w:sz="0" w:space="0" w:color="auto"/>
        <w:bottom w:val="none" w:sz="0" w:space="0" w:color="auto"/>
        <w:right w:val="none" w:sz="0" w:space="0" w:color="auto"/>
      </w:divBdr>
    </w:div>
    <w:div w:id="201445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mghana.net/index.php/funding-reque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2A0C6-11C8-4378-850C-84DD409E0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3203</Words>
  <Characters>18261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Faustus</dc:creator>
  <cp:lastModifiedBy>Annekatrin El Oumrany</cp:lastModifiedBy>
  <cp:revision>4</cp:revision>
  <cp:lastPrinted>2017-02-20T09:55:00Z</cp:lastPrinted>
  <dcterms:created xsi:type="dcterms:W3CDTF">2017-06-16T11:11:00Z</dcterms:created>
  <dcterms:modified xsi:type="dcterms:W3CDTF">2017-06-16T12:45:00Z</dcterms:modified>
</cp:coreProperties>
</file>