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697085" w:rsidP="00526FC4">
      <w:pPr>
        <w:jc w:val="center"/>
        <w:rPr>
          <w:b/>
        </w:rPr>
      </w:pPr>
      <w:r>
        <w:rPr>
          <w:b/>
        </w:rPr>
        <w:t>February</w:t>
      </w:r>
      <w:r w:rsidR="003756BB">
        <w:rPr>
          <w:b/>
        </w:rPr>
        <w:t xml:space="preserve"> </w:t>
      </w:r>
      <w:r w:rsidR="001174A8">
        <w:rPr>
          <w:b/>
        </w:rPr>
        <w:t>21st</w:t>
      </w:r>
      <w:r w:rsidR="00226C88">
        <w:rPr>
          <w:b/>
        </w:rPr>
        <w:t>, 201</w:t>
      </w:r>
      <w:r w:rsidR="001174A8">
        <w:rPr>
          <w:b/>
        </w:rPr>
        <w:t>8</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6FC4" w:rsidRPr="00CE7653" w:rsidTr="002D2521">
        <w:tc>
          <w:tcPr>
            <w:tcW w:w="936" w:type="dxa"/>
          </w:tcPr>
          <w:p w:rsidR="00526FC4" w:rsidRPr="0092485A" w:rsidRDefault="00E37879" w:rsidP="00526FC4">
            <w:pPr>
              <w:jc w:val="both"/>
            </w:pPr>
            <w:r>
              <w:t>1</w:t>
            </w:r>
          </w:p>
        </w:tc>
        <w:tc>
          <w:tcPr>
            <w:tcW w:w="3080" w:type="dxa"/>
          </w:tcPr>
          <w:p w:rsidR="00526FC4" w:rsidRPr="0092485A" w:rsidRDefault="00526FC4" w:rsidP="00526FC4">
            <w:pPr>
              <w:jc w:val="both"/>
            </w:pPr>
            <w:r w:rsidRPr="0092485A">
              <w:t>Annekatrin El Oumrany</w:t>
            </w:r>
          </w:p>
        </w:tc>
        <w:tc>
          <w:tcPr>
            <w:tcW w:w="2797" w:type="dxa"/>
          </w:tcPr>
          <w:p w:rsidR="00526FC4" w:rsidRPr="0092485A" w:rsidRDefault="00526FC4" w:rsidP="00526FC4">
            <w:pPr>
              <w:jc w:val="both"/>
            </w:pPr>
            <w:r w:rsidRPr="0092485A">
              <w:t>CCM Secretariat</w:t>
            </w:r>
          </w:p>
        </w:tc>
        <w:tc>
          <w:tcPr>
            <w:tcW w:w="2345" w:type="dxa"/>
          </w:tcPr>
          <w:p w:rsidR="00526FC4" w:rsidRPr="0092485A" w:rsidRDefault="00526FC4" w:rsidP="00526FC4">
            <w:pPr>
              <w:jc w:val="both"/>
            </w:pPr>
            <w:r w:rsidRPr="0092485A">
              <w:t>CCM</w:t>
            </w:r>
          </w:p>
        </w:tc>
      </w:tr>
      <w:tr w:rsidR="00A85701" w:rsidRPr="00E37879" w:rsidTr="002D2521">
        <w:tc>
          <w:tcPr>
            <w:tcW w:w="936" w:type="dxa"/>
          </w:tcPr>
          <w:p w:rsidR="00A85701" w:rsidRPr="00E37879" w:rsidRDefault="00E37879" w:rsidP="00052CD1">
            <w:pPr>
              <w:jc w:val="both"/>
            </w:pPr>
            <w:r>
              <w:t>2</w:t>
            </w:r>
          </w:p>
        </w:tc>
        <w:tc>
          <w:tcPr>
            <w:tcW w:w="3080" w:type="dxa"/>
          </w:tcPr>
          <w:p w:rsidR="00A85701" w:rsidRPr="00E37879" w:rsidRDefault="00A85701" w:rsidP="00052CD1">
            <w:pPr>
              <w:jc w:val="both"/>
            </w:pPr>
            <w:r w:rsidRPr="00E37879">
              <w:t>Kenneth Danso</w:t>
            </w:r>
          </w:p>
        </w:tc>
        <w:tc>
          <w:tcPr>
            <w:tcW w:w="2797" w:type="dxa"/>
          </w:tcPr>
          <w:p w:rsidR="00A85701" w:rsidRPr="00E37879" w:rsidRDefault="00A85701" w:rsidP="00052CD1">
            <w:pPr>
              <w:jc w:val="both"/>
            </w:pPr>
            <w:r w:rsidRPr="00E37879">
              <w:t>NACP</w:t>
            </w:r>
          </w:p>
        </w:tc>
        <w:tc>
          <w:tcPr>
            <w:tcW w:w="2345" w:type="dxa"/>
          </w:tcPr>
          <w:p w:rsidR="00A85701" w:rsidRPr="00E37879" w:rsidRDefault="00A85701" w:rsidP="00052CD1">
            <w:pPr>
              <w:jc w:val="both"/>
            </w:pPr>
            <w:r w:rsidRPr="00E37879">
              <w:t>PR / Government</w:t>
            </w:r>
          </w:p>
        </w:tc>
      </w:tr>
      <w:tr w:rsidR="00A85701" w:rsidRPr="00E37879" w:rsidTr="002D2521">
        <w:tc>
          <w:tcPr>
            <w:tcW w:w="936" w:type="dxa"/>
          </w:tcPr>
          <w:p w:rsidR="00A85701" w:rsidRPr="00E37879" w:rsidRDefault="00E37879" w:rsidP="00052CD1">
            <w:pPr>
              <w:jc w:val="both"/>
            </w:pPr>
            <w:r>
              <w:t>3</w:t>
            </w:r>
          </w:p>
        </w:tc>
        <w:tc>
          <w:tcPr>
            <w:tcW w:w="3080" w:type="dxa"/>
          </w:tcPr>
          <w:p w:rsidR="00A85701" w:rsidRPr="00E37879" w:rsidRDefault="00A85701" w:rsidP="00052CD1">
            <w:pPr>
              <w:jc w:val="both"/>
            </w:pPr>
            <w:r w:rsidRPr="00E37879">
              <w:t>Rosemond Jimma</w:t>
            </w:r>
          </w:p>
        </w:tc>
        <w:tc>
          <w:tcPr>
            <w:tcW w:w="2797" w:type="dxa"/>
          </w:tcPr>
          <w:p w:rsidR="00A85701" w:rsidRPr="00E37879" w:rsidRDefault="00A85701" w:rsidP="00052CD1">
            <w:pPr>
              <w:jc w:val="both"/>
            </w:pPr>
            <w:r w:rsidRPr="00E37879">
              <w:t>NACP</w:t>
            </w:r>
          </w:p>
        </w:tc>
        <w:tc>
          <w:tcPr>
            <w:tcW w:w="2345" w:type="dxa"/>
          </w:tcPr>
          <w:p w:rsidR="00A85701" w:rsidRPr="00E37879" w:rsidRDefault="00A85701" w:rsidP="00052CD1">
            <w:pPr>
              <w:jc w:val="both"/>
            </w:pPr>
            <w:r w:rsidRPr="00E37879">
              <w:t>PR / Government</w:t>
            </w:r>
          </w:p>
        </w:tc>
      </w:tr>
      <w:tr w:rsidR="00E36EA5" w:rsidRPr="00E37879" w:rsidTr="002D2521">
        <w:tc>
          <w:tcPr>
            <w:tcW w:w="936" w:type="dxa"/>
          </w:tcPr>
          <w:p w:rsidR="00E36EA5" w:rsidRPr="00E37879" w:rsidRDefault="00E37879" w:rsidP="005C4042">
            <w:pPr>
              <w:jc w:val="both"/>
            </w:pPr>
            <w:r>
              <w:t>4</w:t>
            </w:r>
          </w:p>
        </w:tc>
        <w:tc>
          <w:tcPr>
            <w:tcW w:w="3080" w:type="dxa"/>
          </w:tcPr>
          <w:p w:rsidR="00E36EA5" w:rsidRPr="00E37879" w:rsidRDefault="006B5930" w:rsidP="0035486F">
            <w:pPr>
              <w:jc w:val="both"/>
            </w:pPr>
            <w:r w:rsidRPr="00E37879">
              <w:t xml:space="preserve">Kwadwo </w:t>
            </w:r>
            <w:proofErr w:type="spellStart"/>
            <w:r w:rsidRPr="00E37879">
              <w:t>Kod</w:t>
            </w:r>
            <w:r w:rsidR="0035486F" w:rsidRPr="00E37879">
              <w:t>n</w:t>
            </w:r>
            <w:r w:rsidRPr="00E37879">
              <w:t>a</w:t>
            </w:r>
            <w:r w:rsidR="0035486F" w:rsidRPr="00E37879">
              <w:t>h</w:t>
            </w:r>
            <w:proofErr w:type="spellEnd"/>
          </w:p>
        </w:tc>
        <w:tc>
          <w:tcPr>
            <w:tcW w:w="2797" w:type="dxa"/>
          </w:tcPr>
          <w:p w:rsidR="00E36EA5" w:rsidRPr="00E37879" w:rsidRDefault="00E36EA5" w:rsidP="005C4042">
            <w:pPr>
              <w:jc w:val="both"/>
            </w:pPr>
            <w:r w:rsidRPr="00E37879">
              <w:t>NACP</w:t>
            </w:r>
          </w:p>
        </w:tc>
        <w:tc>
          <w:tcPr>
            <w:tcW w:w="2345" w:type="dxa"/>
          </w:tcPr>
          <w:p w:rsidR="00E36EA5" w:rsidRPr="00E37879" w:rsidRDefault="00E36EA5">
            <w:r w:rsidRPr="00E37879">
              <w:t>PR / Government</w:t>
            </w:r>
          </w:p>
        </w:tc>
      </w:tr>
      <w:tr w:rsidR="00EC3DBA" w:rsidRPr="00E37879" w:rsidTr="002D2521">
        <w:tc>
          <w:tcPr>
            <w:tcW w:w="936" w:type="dxa"/>
          </w:tcPr>
          <w:p w:rsidR="00EC3DBA" w:rsidRPr="00E37879" w:rsidRDefault="00E37879" w:rsidP="005C4042">
            <w:pPr>
              <w:jc w:val="both"/>
            </w:pPr>
            <w:r>
              <w:t>5</w:t>
            </w:r>
          </w:p>
        </w:tc>
        <w:tc>
          <w:tcPr>
            <w:tcW w:w="3080" w:type="dxa"/>
          </w:tcPr>
          <w:p w:rsidR="00EC3DBA" w:rsidRPr="00E37879" w:rsidRDefault="00EC3DBA" w:rsidP="005C4042">
            <w:pPr>
              <w:jc w:val="both"/>
            </w:pPr>
            <w:r w:rsidRPr="00E37879">
              <w:t>Zeleke Alebachew</w:t>
            </w:r>
          </w:p>
        </w:tc>
        <w:tc>
          <w:tcPr>
            <w:tcW w:w="2797" w:type="dxa"/>
          </w:tcPr>
          <w:p w:rsidR="00EC3DBA" w:rsidRPr="00E37879" w:rsidRDefault="00EC3DBA" w:rsidP="005C4042">
            <w:pPr>
              <w:jc w:val="both"/>
            </w:pPr>
            <w:r w:rsidRPr="00E37879">
              <w:t>NTP</w:t>
            </w:r>
          </w:p>
        </w:tc>
        <w:tc>
          <w:tcPr>
            <w:tcW w:w="2345" w:type="dxa"/>
          </w:tcPr>
          <w:p w:rsidR="00EC3DBA" w:rsidRPr="00E37879" w:rsidRDefault="00EC3DBA" w:rsidP="005C4042">
            <w:pPr>
              <w:jc w:val="both"/>
            </w:pPr>
            <w:r w:rsidRPr="00E37879">
              <w:t>PR / Government</w:t>
            </w:r>
          </w:p>
        </w:tc>
      </w:tr>
      <w:tr w:rsidR="00914524" w:rsidRPr="00E37879" w:rsidTr="002D2521">
        <w:tc>
          <w:tcPr>
            <w:tcW w:w="936" w:type="dxa"/>
          </w:tcPr>
          <w:p w:rsidR="00914524" w:rsidRPr="00E37879" w:rsidRDefault="00E37879" w:rsidP="005C4042">
            <w:pPr>
              <w:jc w:val="both"/>
            </w:pPr>
            <w:r>
              <w:t>6</w:t>
            </w:r>
          </w:p>
        </w:tc>
        <w:tc>
          <w:tcPr>
            <w:tcW w:w="3080" w:type="dxa"/>
          </w:tcPr>
          <w:p w:rsidR="00914524" w:rsidRPr="00E37879" w:rsidRDefault="00914524" w:rsidP="005C4042">
            <w:pPr>
              <w:jc w:val="both"/>
            </w:pPr>
            <w:r w:rsidRPr="00E37879">
              <w:t>Kwami Afutu</w:t>
            </w:r>
          </w:p>
        </w:tc>
        <w:tc>
          <w:tcPr>
            <w:tcW w:w="2797" w:type="dxa"/>
          </w:tcPr>
          <w:p w:rsidR="00914524" w:rsidRPr="00E37879" w:rsidRDefault="00914524" w:rsidP="005C4042">
            <w:pPr>
              <w:jc w:val="both"/>
            </w:pPr>
            <w:r w:rsidRPr="00E37879">
              <w:t>NTP</w:t>
            </w:r>
          </w:p>
        </w:tc>
        <w:tc>
          <w:tcPr>
            <w:tcW w:w="2345" w:type="dxa"/>
          </w:tcPr>
          <w:p w:rsidR="00914524" w:rsidRPr="00E37879" w:rsidRDefault="00914524" w:rsidP="005C4042">
            <w:pPr>
              <w:jc w:val="both"/>
            </w:pPr>
            <w:r w:rsidRPr="00E37879">
              <w:t>PR / Government</w:t>
            </w:r>
          </w:p>
        </w:tc>
      </w:tr>
      <w:tr w:rsidR="0047227B" w:rsidRPr="00E37879" w:rsidTr="002D2521">
        <w:tc>
          <w:tcPr>
            <w:tcW w:w="936" w:type="dxa"/>
          </w:tcPr>
          <w:p w:rsidR="0047227B" w:rsidRPr="00E37879" w:rsidRDefault="00E37879" w:rsidP="0047227B">
            <w:pPr>
              <w:jc w:val="both"/>
            </w:pPr>
            <w:r>
              <w:t>7</w:t>
            </w:r>
          </w:p>
        </w:tc>
        <w:tc>
          <w:tcPr>
            <w:tcW w:w="3080" w:type="dxa"/>
          </w:tcPr>
          <w:p w:rsidR="0047227B" w:rsidRPr="00E37879" w:rsidRDefault="0047227B" w:rsidP="0047227B">
            <w:pPr>
              <w:jc w:val="both"/>
            </w:pPr>
            <w:r w:rsidRPr="00E37879">
              <w:t>Raymond Gockah</w:t>
            </w:r>
          </w:p>
        </w:tc>
        <w:tc>
          <w:tcPr>
            <w:tcW w:w="2797" w:type="dxa"/>
          </w:tcPr>
          <w:p w:rsidR="0047227B" w:rsidRPr="00E37879" w:rsidRDefault="0047227B" w:rsidP="0047227B">
            <w:pPr>
              <w:jc w:val="both"/>
            </w:pPr>
            <w:r w:rsidRPr="00E37879">
              <w:t>NTP</w:t>
            </w:r>
          </w:p>
        </w:tc>
        <w:tc>
          <w:tcPr>
            <w:tcW w:w="2345" w:type="dxa"/>
          </w:tcPr>
          <w:p w:rsidR="0047227B" w:rsidRPr="00E37879" w:rsidRDefault="0047227B" w:rsidP="0047227B">
            <w:r w:rsidRPr="00E37879">
              <w:t>PR / Government</w:t>
            </w:r>
          </w:p>
        </w:tc>
      </w:tr>
      <w:tr w:rsidR="004369B5" w:rsidRPr="00E37879" w:rsidTr="002D2521">
        <w:tc>
          <w:tcPr>
            <w:tcW w:w="936" w:type="dxa"/>
          </w:tcPr>
          <w:p w:rsidR="004369B5" w:rsidRPr="00E37879" w:rsidRDefault="00E37879" w:rsidP="00A31AE7">
            <w:pPr>
              <w:jc w:val="both"/>
            </w:pPr>
            <w:r>
              <w:t>8</w:t>
            </w:r>
          </w:p>
        </w:tc>
        <w:tc>
          <w:tcPr>
            <w:tcW w:w="3080" w:type="dxa"/>
          </w:tcPr>
          <w:p w:rsidR="004369B5" w:rsidRPr="00E37879" w:rsidRDefault="004369B5" w:rsidP="00A31AE7">
            <w:pPr>
              <w:jc w:val="both"/>
            </w:pPr>
            <w:r w:rsidRPr="00E37879">
              <w:t>Dr. Yaw Adusi-Poku</w:t>
            </w:r>
          </w:p>
        </w:tc>
        <w:tc>
          <w:tcPr>
            <w:tcW w:w="2797" w:type="dxa"/>
          </w:tcPr>
          <w:p w:rsidR="004369B5" w:rsidRPr="00E37879" w:rsidRDefault="004369B5" w:rsidP="00A31AE7">
            <w:pPr>
              <w:jc w:val="both"/>
            </w:pPr>
            <w:r w:rsidRPr="00E37879">
              <w:t>NTP</w:t>
            </w:r>
          </w:p>
        </w:tc>
        <w:tc>
          <w:tcPr>
            <w:tcW w:w="2345" w:type="dxa"/>
          </w:tcPr>
          <w:p w:rsidR="004369B5" w:rsidRPr="00E37879" w:rsidRDefault="004369B5" w:rsidP="00A31AE7">
            <w:r w:rsidRPr="00E37879">
              <w:t>PR / Government</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E37879" w:rsidP="00A31AE7">
            <w:pPr>
              <w:rPr>
                <w:color w:val="000000" w:themeColor="text1"/>
              </w:rPr>
            </w:pPr>
            <w:r>
              <w:rPr>
                <w:color w:val="000000" w:themeColor="text1"/>
              </w:rPr>
              <w:t>9</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Damaris Forson</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GHSC-PSM</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C578A4" w:rsidRDefault="00A31AE7" w:rsidP="00A31AE7">
            <w:pPr>
              <w:rPr>
                <w:color w:val="000000" w:themeColor="text1"/>
              </w:rPr>
            </w:pPr>
            <w:r w:rsidRPr="00C578A4">
              <w:rPr>
                <w:color w:val="000000" w:themeColor="text1"/>
              </w:rPr>
              <w:t>Co-opted member</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E37879" w:rsidP="00A31AE7">
            <w:pPr>
              <w:rPr>
                <w:color w:val="000000" w:themeColor="text1"/>
              </w:rPr>
            </w:pPr>
            <w:r>
              <w:rPr>
                <w:color w:val="000000" w:themeColor="text1"/>
              </w:rPr>
              <w:t>10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Helen Odido</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UNAIDS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C578A4" w:rsidRDefault="00A31AE7" w:rsidP="00A31AE7">
            <w:pPr>
              <w:rPr>
                <w:color w:val="000000" w:themeColor="text1"/>
              </w:rPr>
            </w:pPr>
            <w:r w:rsidRPr="00C578A4">
              <w:rPr>
                <w:color w:val="000000" w:themeColor="text1"/>
              </w:rPr>
              <w:t xml:space="preserve">Multilateral </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E37879" w:rsidP="00A31AE7">
            <w:pPr>
              <w:rPr>
                <w:color w:val="000000" w:themeColor="text1"/>
              </w:rPr>
            </w:pPr>
            <w:r>
              <w:rPr>
                <w:color w:val="000000" w:themeColor="text1"/>
              </w:rPr>
              <w:t>11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Dr Felicia Owusu-Antwi</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C578A4" w:rsidRDefault="00A31AE7" w:rsidP="00A31AE7">
            <w:pPr>
              <w:rPr>
                <w:color w:val="000000" w:themeColor="text1"/>
              </w:rPr>
            </w:pPr>
            <w:r w:rsidRPr="00C578A4">
              <w:rPr>
                <w:color w:val="000000" w:themeColor="text1"/>
              </w:rPr>
              <w:t xml:space="preserve">Multilateral </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E37879" w:rsidP="00A31AE7">
            <w:pPr>
              <w:rPr>
                <w:color w:val="000000" w:themeColor="text1"/>
              </w:rPr>
            </w:pPr>
            <w:r>
              <w:rPr>
                <w:color w:val="000000" w:themeColor="text1"/>
              </w:rPr>
              <w:t>12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Genevieve Dorbayi</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TB Voice</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C578A4" w:rsidRDefault="00A31AE7" w:rsidP="00A31AE7">
            <w:pPr>
              <w:rPr>
                <w:color w:val="000000" w:themeColor="text1"/>
              </w:rPr>
            </w:pPr>
            <w:r w:rsidRPr="00C578A4">
              <w:rPr>
                <w:color w:val="000000" w:themeColor="text1"/>
              </w:rPr>
              <w:t>PLWD</w:t>
            </w:r>
          </w:p>
        </w:tc>
      </w:tr>
      <w:tr w:rsidR="00A31AE7" w:rsidRPr="00C578A4" w:rsidTr="002D2521">
        <w:tc>
          <w:tcPr>
            <w:tcW w:w="936" w:type="dxa"/>
          </w:tcPr>
          <w:p w:rsidR="00A31AE7" w:rsidRPr="00C578A4" w:rsidRDefault="00E37879" w:rsidP="00A31AE7">
            <w:pPr>
              <w:rPr>
                <w:color w:val="000000" w:themeColor="text1"/>
              </w:rPr>
            </w:pPr>
            <w:r>
              <w:rPr>
                <w:color w:val="000000" w:themeColor="text1"/>
              </w:rPr>
              <w:t>13</w:t>
            </w:r>
          </w:p>
        </w:tc>
        <w:tc>
          <w:tcPr>
            <w:tcW w:w="3080"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Cecilia Senoo</w:t>
            </w:r>
          </w:p>
        </w:tc>
        <w:tc>
          <w:tcPr>
            <w:tcW w:w="2797"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SWAA</w:t>
            </w:r>
          </w:p>
        </w:tc>
        <w:tc>
          <w:tcPr>
            <w:tcW w:w="2345" w:type="dxa"/>
          </w:tcPr>
          <w:p w:rsidR="00A31AE7" w:rsidRPr="00C578A4" w:rsidRDefault="00A31AE7" w:rsidP="00A31AE7">
            <w:pPr>
              <w:rPr>
                <w:color w:val="000000" w:themeColor="text1"/>
              </w:rPr>
            </w:pPr>
            <w:proofErr w:type="spellStart"/>
            <w:r w:rsidRPr="00C578A4">
              <w:rPr>
                <w:color w:val="000000" w:themeColor="text1"/>
              </w:rPr>
              <w:t>W&amp;Cig</w:t>
            </w:r>
            <w:proofErr w:type="spellEnd"/>
          </w:p>
        </w:tc>
      </w:tr>
      <w:tr w:rsidR="00A31AE7" w:rsidRPr="00C578A4" w:rsidTr="002D2521">
        <w:tc>
          <w:tcPr>
            <w:tcW w:w="936" w:type="dxa"/>
          </w:tcPr>
          <w:p w:rsidR="00A31AE7" w:rsidRPr="00C578A4" w:rsidRDefault="00E37879" w:rsidP="00A31AE7">
            <w:pPr>
              <w:rPr>
                <w:color w:val="000000" w:themeColor="text1"/>
              </w:rPr>
            </w:pPr>
            <w:r>
              <w:rPr>
                <w:color w:val="000000" w:themeColor="text1"/>
              </w:rPr>
              <w:t>14</w:t>
            </w:r>
          </w:p>
        </w:tc>
        <w:tc>
          <w:tcPr>
            <w:tcW w:w="3080"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Evans Opata</w:t>
            </w:r>
          </w:p>
        </w:tc>
        <w:tc>
          <w:tcPr>
            <w:tcW w:w="2797"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Coalition of NGOs in Malaria</w:t>
            </w:r>
          </w:p>
        </w:tc>
        <w:tc>
          <w:tcPr>
            <w:tcW w:w="2345" w:type="dxa"/>
          </w:tcPr>
          <w:p w:rsidR="00A31AE7" w:rsidRPr="00C578A4" w:rsidRDefault="00A31AE7" w:rsidP="00A31AE7">
            <w:pPr>
              <w:rPr>
                <w:color w:val="000000" w:themeColor="text1"/>
              </w:rPr>
            </w:pPr>
            <w:r w:rsidRPr="00C578A4">
              <w:rPr>
                <w:color w:val="000000" w:themeColor="text1"/>
              </w:rPr>
              <w:t>NGO</w:t>
            </w:r>
          </w:p>
        </w:tc>
      </w:tr>
      <w:tr w:rsidR="00A31AE7" w:rsidRPr="00C578A4" w:rsidTr="002D2521">
        <w:tc>
          <w:tcPr>
            <w:tcW w:w="936" w:type="dxa"/>
          </w:tcPr>
          <w:p w:rsidR="00A31AE7" w:rsidRPr="00C578A4" w:rsidRDefault="00E37879" w:rsidP="00A31AE7">
            <w:pPr>
              <w:rPr>
                <w:color w:val="000000" w:themeColor="text1"/>
              </w:rPr>
            </w:pPr>
            <w:r>
              <w:rPr>
                <w:color w:val="000000" w:themeColor="text1"/>
              </w:rPr>
              <w:t>15</w:t>
            </w:r>
          </w:p>
        </w:tc>
        <w:tc>
          <w:tcPr>
            <w:tcW w:w="3080"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Mac-Darling Cob</w:t>
            </w:r>
            <w:r w:rsidR="00B27CF0">
              <w:rPr>
                <w:rFonts w:ascii="Calibri" w:eastAsia="Calibri" w:hAnsi="Calibri" w:cs="Calibri"/>
                <w:color w:val="000000" w:themeColor="text1"/>
              </w:rPr>
              <w:t>b</w:t>
            </w:r>
            <w:r w:rsidRPr="00C578A4">
              <w:rPr>
                <w:rFonts w:ascii="Calibri" w:eastAsia="Calibri" w:hAnsi="Calibri" w:cs="Calibri"/>
                <w:color w:val="000000" w:themeColor="text1"/>
              </w:rPr>
              <w:t>inah</w:t>
            </w:r>
          </w:p>
        </w:tc>
        <w:tc>
          <w:tcPr>
            <w:tcW w:w="2797" w:type="dxa"/>
          </w:tcPr>
          <w:p w:rsidR="00A31AE7" w:rsidRPr="00C578A4" w:rsidRDefault="00A31AE7" w:rsidP="00B27CF0">
            <w:pPr>
              <w:rPr>
                <w:rFonts w:ascii="Calibri" w:eastAsia="Calibri" w:hAnsi="Calibri" w:cs="Calibri"/>
                <w:color w:val="000000" w:themeColor="text1"/>
              </w:rPr>
            </w:pPr>
            <w:r w:rsidRPr="00C578A4">
              <w:rPr>
                <w:rFonts w:ascii="Calibri" w:eastAsia="Calibri" w:hAnsi="Calibri" w:cs="Calibri"/>
                <w:color w:val="000000" w:themeColor="text1"/>
              </w:rPr>
              <w:t>CEPE</w:t>
            </w:r>
            <w:r w:rsidR="00B27CF0">
              <w:rPr>
                <w:rFonts w:ascii="Calibri" w:eastAsia="Calibri" w:hAnsi="Calibri" w:cs="Calibri"/>
                <w:color w:val="000000" w:themeColor="text1"/>
              </w:rPr>
              <w:t>H</w:t>
            </w:r>
            <w:r w:rsidRPr="00C578A4">
              <w:rPr>
                <w:rFonts w:ascii="Calibri" w:eastAsia="Calibri" w:hAnsi="Calibri" w:cs="Calibri"/>
                <w:color w:val="000000" w:themeColor="text1"/>
              </w:rPr>
              <w:t xml:space="preserve">RG </w:t>
            </w:r>
          </w:p>
        </w:tc>
        <w:tc>
          <w:tcPr>
            <w:tcW w:w="2345" w:type="dxa"/>
          </w:tcPr>
          <w:p w:rsidR="00A31AE7" w:rsidRPr="00C578A4" w:rsidRDefault="00A31AE7" w:rsidP="00A31AE7">
            <w:pPr>
              <w:rPr>
                <w:color w:val="000000" w:themeColor="text1"/>
              </w:rPr>
            </w:pPr>
            <w:r w:rsidRPr="00C578A4">
              <w:rPr>
                <w:color w:val="000000" w:themeColor="text1"/>
              </w:rPr>
              <w:t>KAP</w:t>
            </w:r>
          </w:p>
        </w:tc>
      </w:tr>
      <w:tr w:rsidR="00E37879" w:rsidRPr="00C578A4" w:rsidTr="002D2521">
        <w:tc>
          <w:tcPr>
            <w:tcW w:w="936" w:type="dxa"/>
          </w:tcPr>
          <w:p w:rsidR="00E37879" w:rsidRDefault="00E37879" w:rsidP="00A31AE7">
            <w:pPr>
              <w:rPr>
                <w:color w:val="000000" w:themeColor="text1"/>
              </w:rPr>
            </w:pPr>
            <w:r>
              <w:rPr>
                <w:color w:val="000000" w:themeColor="text1"/>
              </w:rPr>
              <w:t>16</w:t>
            </w:r>
          </w:p>
        </w:tc>
        <w:tc>
          <w:tcPr>
            <w:tcW w:w="3080" w:type="dxa"/>
          </w:tcPr>
          <w:p w:rsidR="00E37879" w:rsidRPr="00C578A4" w:rsidRDefault="00E37879" w:rsidP="00A31AE7">
            <w:pPr>
              <w:rPr>
                <w:rFonts w:ascii="Calibri" w:eastAsia="Calibri" w:hAnsi="Calibri" w:cs="Calibri"/>
                <w:color w:val="000000" w:themeColor="text1"/>
              </w:rPr>
            </w:pPr>
            <w:r>
              <w:rPr>
                <w:rFonts w:ascii="Calibri" w:eastAsia="Calibri" w:hAnsi="Calibri" w:cs="Calibri"/>
                <w:color w:val="000000" w:themeColor="text1"/>
              </w:rPr>
              <w:t>Ezra</w:t>
            </w:r>
            <w:r w:rsidR="00262CD9">
              <w:rPr>
                <w:rFonts w:ascii="Calibri" w:eastAsia="Calibri" w:hAnsi="Calibri" w:cs="Calibri"/>
                <w:color w:val="000000" w:themeColor="text1"/>
              </w:rPr>
              <w:t xml:space="preserve"> Tessera</w:t>
            </w:r>
          </w:p>
        </w:tc>
        <w:tc>
          <w:tcPr>
            <w:tcW w:w="2797" w:type="dxa"/>
          </w:tcPr>
          <w:p w:rsidR="00E37879" w:rsidRPr="00C578A4" w:rsidRDefault="00E37879" w:rsidP="00B27CF0">
            <w:pPr>
              <w:rPr>
                <w:rFonts w:ascii="Calibri" w:eastAsia="Calibri" w:hAnsi="Calibri" w:cs="Calibri"/>
                <w:color w:val="000000" w:themeColor="text1"/>
              </w:rPr>
            </w:pPr>
            <w:r>
              <w:rPr>
                <w:color w:val="000000" w:themeColor="text1"/>
              </w:rPr>
              <w:t>Global Fund</w:t>
            </w:r>
          </w:p>
        </w:tc>
        <w:tc>
          <w:tcPr>
            <w:tcW w:w="2345" w:type="dxa"/>
          </w:tcPr>
          <w:p w:rsidR="00E37879" w:rsidRPr="00C578A4" w:rsidRDefault="00E37879" w:rsidP="00A31AE7">
            <w:pPr>
              <w:rPr>
                <w:color w:val="000000" w:themeColor="text1"/>
              </w:rPr>
            </w:pPr>
            <w:r>
              <w:rPr>
                <w:color w:val="000000" w:themeColor="text1"/>
              </w:rPr>
              <w:t>n/a</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E3787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E37879" w:rsidRPr="00052CD1" w:rsidRDefault="00E37879" w:rsidP="00E37879">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37879" w:rsidRPr="00C578A4" w:rsidRDefault="00E37879" w:rsidP="00E37879">
            <w:pPr>
              <w:rPr>
                <w:rFonts w:ascii="Calibri" w:eastAsia="Calibri" w:hAnsi="Calibri" w:cs="Calibri"/>
                <w:color w:val="000000" w:themeColor="text1"/>
              </w:rPr>
            </w:pPr>
            <w:r w:rsidRPr="00C578A4">
              <w:rPr>
                <w:rFonts w:ascii="Calibri" w:eastAsia="Calibri" w:hAnsi="Calibri" w:cs="Calibri"/>
                <w:color w:val="000000" w:themeColor="text1"/>
              </w:rPr>
              <w:t>Edith Andrews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37879" w:rsidRPr="00C578A4" w:rsidRDefault="00E37879" w:rsidP="00E37879">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E37879" w:rsidRPr="00C578A4" w:rsidRDefault="00E37879" w:rsidP="00E37879">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E37879" w:rsidRDefault="00E37879" w:rsidP="00E37879">
            <w:pPr>
              <w:rPr>
                <w:color w:val="000000" w:themeColor="text1"/>
              </w:rPr>
            </w:pPr>
          </w:p>
        </w:tc>
      </w:tr>
      <w:tr w:rsidR="00E3787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E37879" w:rsidRPr="00052CD1" w:rsidRDefault="00E37879" w:rsidP="00E37879">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37879" w:rsidRPr="00C578A4" w:rsidRDefault="00E37879" w:rsidP="00E37879">
            <w:pPr>
              <w:rPr>
                <w:rFonts w:ascii="Calibri" w:eastAsia="Calibri" w:hAnsi="Calibri" w:cs="Calibri"/>
                <w:color w:val="000000" w:themeColor="text1"/>
              </w:rPr>
            </w:pPr>
            <w:r w:rsidRPr="00C578A4">
              <w:rPr>
                <w:rFonts w:ascii="Calibri" w:eastAsia="Calibri" w:hAnsi="Calibri" w:cs="Calibri"/>
                <w:color w:val="000000" w:themeColor="text1"/>
              </w:rPr>
              <w:t>Jonathan Tetteh-Kwao Teye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37879" w:rsidRPr="00C578A4" w:rsidRDefault="00E37879" w:rsidP="00E37879">
            <w:pPr>
              <w:rPr>
                <w:rFonts w:ascii="Calibri" w:eastAsia="Calibri" w:hAnsi="Calibri" w:cs="Calibri"/>
                <w:color w:val="000000" w:themeColor="text1"/>
              </w:rPr>
            </w:pPr>
            <w:r w:rsidRPr="00C578A4">
              <w:rPr>
                <w:rFonts w:ascii="Calibri" w:eastAsia="Calibri" w:hAnsi="Calibri" w:cs="Calibri"/>
                <w:color w:val="000000" w:themeColor="text1"/>
              </w:rPr>
              <w:t>Dream</w:t>
            </w:r>
            <w:r>
              <w:rPr>
                <w:rFonts w:ascii="Calibri" w:eastAsia="Calibri" w:hAnsi="Calibri" w:cs="Calibri"/>
                <w:color w:val="000000" w:themeColor="text1"/>
              </w:rPr>
              <w:t xml:space="preserve"> </w:t>
            </w:r>
            <w:r w:rsidRPr="00C578A4">
              <w:rPr>
                <w:rFonts w:ascii="Calibri" w:eastAsia="Calibri" w:hAnsi="Calibri" w:cs="Calibri"/>
                <w:color w:val="000000" w:themeColor="text1"/>
              </w:rPr>
              <w:t>Weaver</w:t>
            </w:r>
            <w:r>
              <w:rPr>
                <w:rFonts w:ascii="Calibri" w:eastAsia="Calibri" w:hAnsi="Calibri" w:cs="Calibri"/>
                <w:color w:val="000000" w:themeColor="text1"/>
              </w:rPr>
              <w:t xml:space="preserve"> Organization</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E37879" w:rsidRPr="00C578A4" w:rsidRDefault="00E37879" w:rsidP="00E37879">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E37879" w:rsidRDefault="00E37879" w:rsidP="00E37879">
            <w:pPr>
              <w:rPr>
                <w:color w:val="000000" w:themeColor="text1"/>
              </w:rPr>
            </w:pPr>
          </w:p>
        </w:tc>
      </w:tr>
    </w:tbl>
    <w:p w:rsidR="002A6CB3" w:rsidRDefault="002A6CB3">
      <w:pPr>
        <w:rPr>
          <w:b/>
          <w:sz w:val="24"/>
          <w:szCs w:val="24"/>
        </w:rPr>
      </w:pPr>
    </w:p>
    <w:p w:rsidR="00F957F5" w:rsidRPr="007D3EA9" w:rsidRDefault="00F957F5"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t>Opening:</w:t>
      </w:r>
    </w:p>
    <w:p w:rsidR="00F957F5" w:rsidRDefault="00F957F5" w:rsidP="00F957F5">
      <w:pPr>
        <w:jc w:val="both"/>
      </w:pPr>
      <w:r>
        <w:t xml:space="preserve">The meeting started at about </w:t>
      </w:r>
      <w:r w:rsidR="00F86DF7">
        <w:t>9:</w:t>
      </w:r>
      <w:r w:rsidR="00816A20">
        <w:t xml:space="preserve">10 </w:t>
      </w:r>
      <w:r w:rsidR="00F86DF7">
        <w:t>am</w:t>
      </w:r>
      <w:r w:rsidR="00084A30">
        <w:t xml:space="preserve"> chaired by Cecilia Senoo</w:t>
      </w:r>
      <w:r>
        <w:t>.</w:t>
      </w:r>
    </w:p>
    <w:p w:rsidR="002A6CB3" w:rsidRDefault="00403A95" w:rsidP="00FC72F1">
      <w:pPr>
        <w:numPr>
          <w:ilvl w:val="0"/>
          <w:numId w:val="6"/>
        </w:numPr>
        <w:spacing w:after="0"/>
        <w:jc w:val="both"/>
        <w:rPr>
          <w:b/>
        </w:rPr>
      </w:pPr>
      <w:r w:rsidRPr="00336704">
        <w:rPr>
          <w:b/>
        </w:rPr>
        <w:t>Conf</w:t>
      </w:r>
      <w:r w:rsidR="00336704" w:rsidRPr="00336704">
        <w:rPr>
          <w:b/>
        </w:rPr>
        <w:t xml:space="preserve">lict of interest </w:t>
      </w:r>
      <w:r w:rsidR="00E856DD">
        <w:rPr>
          <w:b/>
        </w:rPr>
        <w:t>(</w:t>
      </w:r>
      <w:proofErr w:type="spellStart"/>
      <w:r w:rsidR="00E856DD">
        <w:rPr>
          <w:b/>
        </w:rPr>
        <w:t>CoI</w:t>
      </w:r>
      <w:proofErr w:type="spellEnd"/>
      <w:r w:rsidR="00E856DD">
        <w:rPr>
          <w:b/>
        </w:rPr>
        <w:t xml:space="preserve">) </w:t>
      </w:r>
      <w:r w:rsidR="00336704" w:rsidRPr="00336704">
        <w:rPr>
          <w:b/>
        </w:rPr>
        <w:t>declaration</w:t>
      </w:r>
    </w:p>
    <w:p w:rsidR="00816A20" w:rsidRPr="00816A20" w:rsidRDefault="00816A20" w:rsidP="00160DA5">
      <w:pPr>
        <w:ind w:left="360"/>
        <w:jc w:val="both"/>
      </w:pPr>
      <w:r w:rsidRPr="00816A20">
        <w:t xml:space="preserve">Annekatrin </w:t>
      </w:r>
      <w:r>
        <w:t xml:space="preserve">El Oumrany asked all OC members present about instances of actual or potential conflict of interest. Mac-Darling Cobbinah reminded the meeting about himself being the Executive Director of an SSR. It was decided to continue the present practice to mitigate his </w:t>
      </w:r>
      <w:proofErr w:type="spellStart"/>
      <w:r>
        <w:t>CoI</w:t>
      </w:r>
      <w:proofErr w:type="spellEnd"/>
      <w:r>
        <w:t xml:space="preserve"> if and when aspects related to his organizations are discussed. Beyond that, no OC member declared </w:t>
      </w:r>
      <w:proofErr w:type="spellStart"/>
      <w:r>
        <w:t>CoI</w:t>
      </w:r>
      <w:proofErr w:type="spellEnd"/>
      <w:r>
        <w:t xml:space="preserve">.   </w:t>
      </w:r>
    </w:p>
    <w:p w:rsidR="00816A20" w:rsidRDefault="00816A20" w:rsidP="00FC72F1">
      <w:pPr>
        <w:numPr>
          <w:ilvl w:val="0"/>
          <w:numId w:val="6"/>
        </w:numPr>
        <w:spacing w:after="0"/>
        <w:jc w:val="both"/>
        <w:rPr>
          <w:b/>
        </w:rPr>
      </w:pPr>
      <w:r>
        <w:rPr>
          <w:b/>
        </w:rPr>
        <w:t xml:space="preserve">Feedback from the field </w:t>
      </w:r>
    </w:p>
    <w:p w:rsidR="00816A20" w:rsidRDefault="00E856DD" w:rsidP="00675C9C">
      <w:pPr>
        <w:ind w:left="360"/>
        <w:jc w:val="both"/>
      </w:pPr>
      <w:r w:rsidRPr="00E856DD">
        <w:t xml:space="preserve">Cecilia </w:t>
      </w:r>
      <w:r>
        <w:t xml:space="preserve">Senoo pointed out that </w:t>
      </w:r>
      <w:r w:rsidR="00675C9C">
        <w:t xml:space="preserve">the </w:t>
      </w:r>
      <w:r w:rsidR="00675C9C">
        <w:rPr>
          <w:rStyle w:val="st"/>
        </w:rPr>
        <w:t xml:space="preserve">Society for Women and AIDS in Africa (SWAA) is concerned about girls and young women who are often victim of sexual abuse in second cycle institutions. </w:t>
      </w:r>
      <w:r>
        <w:t xml:space="preserve">Because of their </w:t>
      </w:r>
      <w:r>
        <w:lastRenderedPageBreak/>
        <w:t xml:space="preserve">particular vulnerability, they need to have a much stronger focus in the national response as well as in the matching funds proposal. </w:t>
      </w:r>
    </w:p>
    <w:p w:rsidR="00E856DD" w:rsidRDefault="00675C9C" w:rsidP="00675C9C">
      <w:pPr>
        <w:ind w:left="360"/>
        <w:jc w:val="both"/>
      </w:pPr>
      <w:r>
        <w:t xml:space="preserve">Mac-Darling inquired if the lubricant procured by GAC has arrived and about the lubricant related situation under NFN2. </w:t>
      </w:r>
      <w:r w:rsidR="00E856DD" w:rsidRPr="00675C9C">
        <w:t>Furthermore,</w:t>
      </w:r>
      <w:r>
        <w:t xml:space="preserve"> he pointed out that it partly takes 6 months in GAR to receive a VL result. He was informed about the technical challenges with the PCR machine and plans to replace it with a new one within the next few months. </w:t>
      </w:r>
    </w:p>
    <w:p w:rsidR="00E856DD" w:rsidRPr="00E856DD" w:rsidRDefault="00675C9C" w:rsidP="00160DA5">
      <w:pPr>
        <w:ind w:left="360"/>
        <w:jc w:val="both"/>
      </w:pPr>
      <w:r>
        <w:t>The OC also had a discussion about integrated monitoring at regional level. One member emphasized that integration covers so much more than just monitoring. It seems however desirable to develop an integration strategy at the level of GHS. Dr. Felicia reported that from her own experience, integration is already comprehensively practiced at district level</w:t>
      </w:r>
      <w:r w:rsidR="00AC6E6A">
        <w:t xml:space="preserve">, while there are more gaps at regional level. In terms of communication between the regional level and the district level, she had also observed that there are conflicting messages coming from different regional officers. It needs to be assured that all officers at the RHD have the same understanding of the national guidelines to ensure their uniform implementation on the ground. </w:t>
      </w:r>
    </w:p>
    <w:p w:rsidR="00336704" w:rsidRDefault="006B0876" w:rsidP="00FC72F1">
      <w:pPr>
        <w:numPr>
          <w:ilvl w:val="0"/>
          <w:numId w:val="6"/>
        </w:numPr>
        <w:spacing w:after="0"/>
        <w:jc w:val="both"/>
        <w:rPr>
          <w:b/>
        </w:rPr>
      </w:pPr>
      <w:r>
        <w:rPr>
          <w:b/>
        </w:rPr>
        <w:t>S</w:t>
      </w:r>
      <w:r w:rsidR="00336704" w:rsidRPr="00336704">
        <w:rPr>
          <w:b/>
        </w:rPr>
        <w:t>ite visit</w:t>
      </w:r>
      <w:r w:rsidR="00D3369F">
        <w:rPr>
          <w:b/>
        </w:rPr>
        <w:t xml:space="preserve"> to BAR</w:t>
      </w:r>
    </w:p>
    <w:p w:rsidR="00E856DD" w:rsidRDefault="00E856DD" w:rsidP="00E856DD">
      <w:pPr>
        <w:ind w:left="360"/>
        <w:jc w:val="both"/>
      </w:pPr>
      <w:r w:rsidRPr="00E856DD">
        <w:t xml:space="preserve">The information presented by Annekatrin El Oumrany about the site visit to Brong Ahafo in December 2017 related only to organizations that will not be represented </w:t>
      </w:r>
      <w:r>
        <w:t xml:space="preserve">at the today’s OC meeting as the findings in the context of NACP and NTP grant implementation will be presented once the PRs are present. </w:t>
      </w:r>
    </w:p>
    <w:p w:rsidR="003151C7" w:rsidRDefault="00E856DD" w:rsidP="003151C7">
      <w:pPr>
        <w:ind w:left="360"/>
        <w:jc w:val="both"/>
      </w:pPr>
      <w:r w:rsidRPr="00E856DD">
        <w:rPr>
          <w:b/>
        </w:rPr>
        <w:t>LMD / availability of commodities:</w:t>
      </w:r>
      <w:r>
        <w:rPr>
          <w:b/>
        </w:rPr>
        <w:t xml:space="preserve"> </w:t>
      </w:r>
      <w:r w:rsidRPr="00E856DD">
        <w:t xml:space="preserve">BAR </w:t>
      </w:r>
      <w:r>
        <w:t>has fully implemented LMD covering close to 500 healthcare facilities, GHS as well as other NHIS accredited ones. Even CHPS are served directly on a monthly schedule</w:t>
      </w:r>
      <w:r w:rsidR="003151C7">
        <w:t xml:space="preserve"> free of charge</w:t>
      </w:r>
      <w:r>
        <w:t xml:space="preserve">. The reliable delivery has reportedly eliminated procurement of commodities </w:t>
      </w:r>
      <w:r w:rsidR="003151C7">
        <w:t xml:space="preserve">on the open market even though the team found such commodities (ACTs) in the pharmacy of the </w:t>
      </w:r>
      <w:proofErr w:type="spellStart"/>
      <w:r w:rsidR="003151C7">
        <w:t>Kintampo</w:t>
      </w:r>
      <w:proofErr w:type="spellEnd"/>
      <w:r w:rsidR="003151C7">
        <w:t xml:space="preserve"> Municipal hospital. The reliable delivery has increased the commodity volume procured by healthcare facilities to such an extent that the LMD related cost can be fully covered</w:t>
      </w:r>
      <w:r w:rsidR="003151C7" w:rsidRPr="003151C7">
        <w:t xml:space="preserve"> </w:t>
      </w:r>
      <w:r w:rsidR="003151C7">
        <w:t xml:space="preserve">through the usual RMS markup on the commodities. RMS as well as the facilities visited confirmed that the availability of program commodities has been stable across the year with occasional shortages of </w:t>
      </w:r>
      <w:proofErr w:type="spellStart"/>
      <w:r w:rsidR="003151C7">
        <w:t>Oraquick</w:t>
      </w:r>
      <w:proofErr w:type="spellEnd"/>
      <w:r w:rsidR="003151C7">
        <w:t xml:space="preserve">. OC members proposed to promote the BAR example as a best practice. </w:t>
      </w:r>
    </w:p>
    <w:p w:rsidR="00E856DD" w:rsidRDefault="003151C7" w:rsidP="00D8534D">
      <w:pPr>
        <w:tabs>
          <w:tab w:val="num" w:pos="1440"/>
        </w:tabs>
        <w:ind w:left="360"/>
        <w:jc w:val="both"/>
      </w:pPr>
      <w:r>
        <w:rPr>
          <w:b/>
        </w:rPr>
        <w:t>WAPCAS:</w:t>
      </w:r>
      <w:r>
        <w:t xml:space="preserve"> The site visit team was very impressed with the WAPCAS project in Sunyani. The work with the PEs is t</w:t>
      </w:r>
      <w:r w:rsidR="003368A6" w:rsidRPr="003151C7">
        <w:t>remendously organized. PEs meet every morning at the office for reporting before th</w:t>
      </w:r>
      <w:r>
        <w:t xml:space="preserve">ey move on to their microsites. Most of the PE work is done during the day when FSWs have time to listen, complemented by night outreaches on Friday and Saturday when they reach out to new FSWs. PEs estimate that only about 20% of </w:t>
      </w:r>
      <w:r w:rsidR="0080411F">
        <w:t xml:space="preserve">new </w:t>
      </w:r>
      <w:r w:rsidR="003368A6" w:rsidRPr="003151C7">
        <w:t xml:space="preserve">FSWs </w:t>
      </w:r>
      <w:r w:rsidR="0080411F">
        <w:t xml:space="preserve">to the project </w:t>
      </w:r>
      <w:r w:rsidR="003368A6" w:rsidRPr="003151C7">
        <w:t>know how to use condoms, many don’t even know their benefits; most have no knowledge of STIs</w:t>
      </w:r>
      <w:r w:rsidR="0080411F">
        <w:t xml:space="preserve"> and believe</w:t>
      </w:r>
      <w:r w:rsidR="003368A6" w:rsidRPr="003151C7">
        <w:t xml:space="preserve"> that oral or anal does not result into STIs</w:t>
      </w:r>
      <w:r w:rsidR="0080411F">
        <w:t xml:space="preserve">. The </w:t>
      </w:r>
      <w:r w:rsidR="0080411F" w:rsidRPr="0080411F">
        <w:t>DIC</w:t>
      </w:r>
      <w:r w:rsidR="0080411F">
        <w:t xml:space="preserve"> is open from</w:t>
      </w:r>
      <w:r w:rsidR="0080411F" w:rsidRPr="0080411F">
        <w:t xml:space="preserve"> Mon</w:t>
      </w:r>
      <w:r w:rsidR="0080411F">
        <w:t xml:space="preserve">day to </w:t>
      </w:r>
      <w:r w:rsidR="0080411F" w:rsidRPr="0080411F">
        <w:t>Sat</w:t>
      </w:r>
      <w:r w:rsidR="0080411F">
        <w:t xml:space="preserve">urday from 10 to </w:t>
      </w:r>
      <w:r w:rsidR="0080411F" w:rsidRPr="0080411F">
        <w:t xml:space="preserve">4. </w:t>
      </w:r>
      <w:r w:rsidR="0080411F">
        <w:t xml:space="preserve">During the four days that the nurse offers among others </w:t>
      </w:r>
      <w:r w:rsidR="0080411F" w:rsidRPr="0080411F">
        <w:t>HTS and STI screening,</w:t>
      </w:r>
      <w:r w:rsidR="0080411F">
        <w:t xml:space="preserve"> the center receives about 30 clients, with </w:t>
      </w:r>
      <w:r w:rsidR="0080411F" w:rsidRPr="0080411F">
        <w:t>5-6</w:t>
      </w:r>
      <w:r w:rsidR="0080411F">
        <w:t xml:space="preserve"> clients on the other days. The successes the PEs reported (</w:t>
      </w:r>
      <w:r w:rsidR="003368A6" w:rsidRPr="003151C7">
        <w:t>90% use condoms consistently even with NPP, high HTS rates (86%) due to its embedding in a general health screening</w:t>
      </w:r>
      <w:r w:rsidR="0080411F">
        <w:t xml:space="preserve">) were confirmed by beneficiaries of the project on the field. </w:t>
      </w:r>
    </w:p>
    <w:p w:rsidR="00160DA5" w:rsidRPr="00E856DD" w:rsidRDefault="00160DA5" w:rsidP="00D8534D">
      <w:pPr>
        <w:tabs>
          <w:tab w:val="num" w:pos="1440"/>
        </w:tabs>
        <w:ind w:left="360"/>
        <w:jc w:val="both"/>
      </w:pPr>
    </w:p>
    <w:p w:rsidR="005C34A6" w:rsidRPr="005C34A6" w:rsidRDefault="00D3369F" w:rsidP="00DB2318">
      <w:pPr>
        <w:numPr>
          <w:ilvl w:val="0"/>
          <w:numId w:val="6"/>
        </w:numPr>
        <w:spacing w:after="0"/>
        <w:jc w:val="both"/>
        <w:rPr>
          <w:b/>
        </w:rPr>
      </w:pPr>
      <w:r w:rsidRPr="005C34A6">
        <w:rPr>
          <w:b/>
        </w:rPr>
        <w:lastRenderedPageBreak/>
        <w:t>GHS review meeting</w:t>
      </w:r>
      <w:r w:rsidR="005C34A6" w:rsidRPr="005C34A6">
        <w:rPr>
          <w:b/>
        </w:rPr>
        <w:t xml:space="preserve"> / January 2018 </w:t>
      </w:r>
    </w:p>
    <w:p w:rsidR="005745D1" w:rsidRDefault="005C34A6" w:rsidP="005C34A6">
      <w:pPr>
        <w:spacing w:after="0"/>
        <w:ind w:left="360"/>
        <w:jc w:val="both"/>
      </w:pPr>
      <w:r>
        <w:t>Annekatrin only attended and reported on the HIV and TB related sessions. The meeting placed a s</w:t>
      </w:r>
      <w:r w:rsidRPr="005C34A6">
        <w:t>trong emphasis on greater regional responsibility, proactiveness, creativity and communication</w:t>
      </w:r>
      <w:r>
        <w:t xml:space="preserve"> across all programs. </w:t>
      </w:r>
    </w:p>
    <w:p w:rsidR="005C34A6" w:rsidRPr="005C34A6" w:rsidRDefault="005C34A6" w:rsidP="005C34A6">
      <w:pPr>
        <w:spacing w:after="0"/>
        <w:ind w:left="360"/>
        <w:jc w:val="both"/>
      </w:pPr>
      <w:r w:rsidRPr="005745D1">
        <w:rPr>
          <w:b/>
        </w:rPr>
        <w:t>HIV</w:t>
      </w:r>
      <w:r w:rsidR="005745D1">
        <w:t>:</w:t>
      </w:r>
      <w:r>
        <w:t xml:space="preserve"> </w:t>
      </w:r>
      <w:r w:rsidR="005745D1">
        <w:t xml:space="preserve">an </w:t>
      </w:r>
      <w:r>
        <w:t xml:space="preserve">estimated </w:t>
      </w:r>
      <w:r w:rsidRPr="005C34A6">
        <w:t>20,000 new infections 15,000 deaths</w:t>
      </w:r>
      <w:r>
        <w:t xml:space="preserve"> were reported. While nationwide test and treat was officially out in September 2017, many regional participants had not received </w:t>
      </w:r>
      <w:r w:rsidR="005745D1">
        <w:t xml:space="preserve">respective communication from the central level which is likely to have affected the numbers of PLHIV enrolled. For the 2018-2020 period, NACP announced that most of the test kits will be provided by MoH that has also budgeted for them. Prayer camps and herbalists will be increasingly integrated in the national response. The </w:t>
      </w:r>
    </w:p>
    <w:p w:rsidR="00D8534D" w:rsidRDefault="005C34A6" w:rsidP="00AC6E6A">
      <w:pPr>
        <w:ind w:left="360"/>
        <w:jc w:val="both"/>
      </w:pPr>
      <w:r w:rsidRPr="005C34A6">
        <w:t xml:space="preserve">HIV </w:t>
      </w:r>
      <w:r w:rsidR="005745D1">
        <w:t xml:space="preserve">rate </w:t>
      </w:r>
      <w:r w:rsidRPr="005C34A6">
        <w:t>in infants</w:t>
      </w:r>
      <w:r w:rsidR="005745D1">
        <w:t xml:space="preserve"> was reported as </w:t>
      </w:r>
      <w:r w:rsidRPr="005C34A6">
        <w:t>12% at 6 weeks</w:t>
      </w:r>
      <w:r w:rsidR="005745D1">
        <w:t xml:space="preserve"> and</w:t>
      </w:r>
      <w:r w:rsidRPr="005C34A6">
        <w:t xml:space="preserve"> 17% at 18 months</w:t>
      </w:r>
      <w:r w:rsidR="005745D1">
        <w:t xml:space="preserve">, which the OC members perceived as much too high. </w:t>
      </w:r>
    </w:p>
    <w:p w:rsidR="005745D1" w:rsidRPr="00572A42" w:rsidRDefault="005745D1" w:rsidP="00901240">
      <w:pPr>
        <w:ind w:left="360"/>
        <w:jc w:val="both"/>
        <w:rPr>
          <w:b/>
        </w:rPr>
      </w:pPr>
      <w:r w:rsidRPr="005745D1">
        <w:rPr>
          <w:b/>
        </w:rPr>
        <w:t>TB:</w:t>
      </w:r>
      <w:r w:rsidR="00160DA5">
        <w:rPr>
          <w:b/>
        </w:rPr>
        <w:t xml:space="preserve"> </w:t>
      </w:r>
      <w:r w:rsidR="00901240" w:rsidRPr="00186A2C">
        <w:rPr>
          <w:b/>
        </w:rPr>
        <w:t>Case Finding</w:t>
      </w:r>
      <w:r w:rsidR="00186A2C">
        <w:rPr>
          <w:b/>
        </w:rPr>
        <w:t>:</w:t>
      </w:r>
      <w:r>
        <w:t xml:space="preserve"> </w:t>
      </w:r>
      <w:r w:rsidRPr="005745D1">
        <w:t>NTP</w:t>
      </w:r>
      <w:r>
        <w:t xml:space="preserve"> had informed about the national c</w:t>
      </w:r>
      <w:r w:rsidRPr="005745D1">
        <w:t>ase detection rate</w:t>
      </w:r>
      <w:r>
        <w:t xml:space="preserve"> of</w:t>
      </w:r>
      <w:r w:rsidRPr="005745D1">
        <w:t xml:space="preserve"> 32%, </w:t>
      </w:r>
      <w:r>
        <w:t>which is the second lowest in Africa (</w:t>
      </w:r>
      <w:r w:rsidRPr="005745D1">
        <w:t>global average: 61%</w:t>
      </w:r>
      <w:r>
        <w:t xml:space="preserve">). In spite of the </w:t>
      </w:r>
      <w:r w:rsidRPr="005745D1">
        <w:t xml:space="preserve">improvement in </w:t>
      </w:r>
      <w:r>
        <w:t xml:space="preserve">the </w:t>
      </w:r>
      <w:r w:rsidRPr="005745D1">
        <w:t xml:space="preserve">testing </w:t>
      </w:r>
      <w:r>
        <w:t xml:space="preserve">rate </w:t>
      </w:r>
      <w:r w:rsidRPr="005745D1">
        <w:t xml:space="preserve">of eligible </w:t>
      </w:r>
      <w:r>
        <w:t xml:space="preserve">OPD </w:t>
      </w:r>
      <w:r w:rsidRPr="005745D1">
        <w:t xml:space="preserve">clients </w:t>
      </w:r>
      <w:r>
        <w:t xml:space="preserve">identified through intensified case finding </w:t>
      </w:r>
      <w:r w:rsidRPr="005745D1">
        <w:t>from about 50% to &gt;70%</w:t>
      </w:r>
      <w:r>
        <w:t xml:space="preserve">, the number of clients notified remained stable at 14,600 clients. Also NTP plans to increasingly </w:t>
      </w:r>
      <w:r w:rsidRPr="005745D1">
        <w:t>target prayer camps</w:t>
      </w:r>
      <w:r>
        <w:t xml:space="preserve"> to find the cases. A s</w:t>
      </w:r>
      <w:r w:rsidRPr="005745D1">
        <w:t xml:space="preserve">ample referral system </w:t>
      </w:r>
      <w:r>
        <w:t xml:space="preserve">is being </w:t>
      </w:r>
      <w:r w:rsidRPr="005745D1">
        <w:t>developed in collaboration with NACP</w:t>
      </w:r>
      <w:r w:rsidR="00186A2C">
        <w:t>. Also both programs</w:t>
      </w:r>
      <w:r w:rsidR="00901240">
        <w:t xml:space="preserve"> </w:t>
      </w:r>
      <w:r w:rsidR="00186A2C">
        <w:t xml:space="preserve">collaborate to </w:t>
      </w:r>
      <w:r w:rsidR="00901240">
        <w:t xml:space="preserve">provide comprehensive service to PLHIVs reducing duplication, </w:t>
      </w:r>
      <w:r w:rsidR="00186A2C">
        <w:t>e.g.</w:t>
      </w:r>
      <w:r w:rsidR="00901240">
        <w:t xml:space="preserve"> repeating HIV test for PLs at the DOTS cent</w:t>
      </w:r>
      <w:r w:rsidR="00186A2C">
        <w:t>er</w:t>
      </w:r>
      <w:r w:rsidR="00901240">
        <w:t>s</w:t>
      </w:r>
      <w:r>
        <w:t xml:space="preserve">. </w:t>
      </w:r>
      <w:r w:rsidR="00186A2C">
        <w:t xml:space="preserve"> </w:t>
      </w:r>
      <w:r w:rsidR="00901240" w:rsidRPr="00186A2C">
        <w:rPr>
          <w:b/>
        </w:rPr>
        <w:t>Drug Resistant TB:</w:t>
      </w:r>
      <w:r w:rsidR="00901240">
        <w:t xml:space="preserve">  There is a budget of</w:t>
      </w:r>
      <w:r w:rsidR="00901240" w:rsidRPr="005745D1">
        <w:t xml:space="preserve"> </w:t>
      </w:r>
      <w:r w:rsidR="00901240">
        <w:t>GHS</w:t>
      </w:r>
      <w:r w:rsidR="00901240" w:rsidRPr="005745D1">
        <w:t>500</w:t>
      </w:r>
      <w:r w:rsidR="00572A42">
        <w:t>0</w:t>
      </w:r>
      <w:r w:rsidR="00901240" w:rsidRPr="005745D1">
        <w:t xml:space="preserve"> per person</w:t>
      </w:r>
      <w:r w:rsidR="00901240">
        <w:t xml:space="preserve"> for the first </w:t>
      </w:r>
      <w:r w:rsidR="00572A42">
        <w:t xml:space="preserve">12 months of treatment for all </w:t>
      </w:r>
      <w:r w:rsidR="00186A2C">
        <w:t>d</w:t>
      </w:r>
      <w:r w:rsidR="00572A42">
        <w:t xml:space="preserve">rug </w:t>
      </w:r>
      <w:r w:rsidR="00186A2C">
        <w:t>r</w:t>
      </w:r>
      <w:r w:rsidR="00572A42">
        <w:t>esistant TB patients</w:t>
      </w:r>
      <w:r w:rsidR="00186A2C">
        <w:t xml:space="preserve"> (enablers package) </w:t>
      </w:r>
      <w:r w:rsidR="00572A42">
        <w:t xml:space="preserve">administered by service providers. </w:t>
      </w:r>
      <w:r w:rsidR="00186A2C">
        <w:t>T</w:t>
      </w:r>
      <w:r w:rsidR="00572A42">
        <w:t xml:space="preserve">he approach to handling </w:t>
      </w:r>
      <w:r w:rsidR="00572A42" w:rsidRPr="005745D1">
        <w:t xml:space="preserve">MDR-TB </w:t>
      </w:r>
      <w:proofErr w:type="gramStart"/>
      <w:r w:rsidR="00572A42" w:rsidRPr="005745D1">
        <w:t>enablers</w:t>
      </w:r>
      <w:proofErr w:type="gramEnd"/>
      <w:r w:rsidR="00572A42" w:rsidRPr="005745D1">
        <w:t xml:space="preserve"> package</w:t>
      </w:r>
      <w:r w:rsidR="00572A42">
        <w:t xml:space="preserve"> at the facility level </w:t>
      </w:r>
      <w:r w:rsidR="00186A2C">
        <w:t>was found to be</w:t>
      </w:r>
      <w:r w:rsidR="00572A42">
        <w:t xml:space="preserve"> not uniform, contrary to the </w:t>
      </w:r>
      <w:r w:rsidR="00186A2C">
        <w:t xml:space="preserve">respective </w:t>
      </w:r>
      <w:r w:rsidR="00572A42">
        <w:t>NTP guideline</w:t>
      </w:r>
      <w:r w:rsidR="00901240">
        <w:t xml:space="preserve">. NTP emphasized to the regional meeting participants to ensure that the amount is used in a transparent and </w:t>
      </w:r>
      <w:r w:rsidR="00901240" w:rsidRPr="005745D1">
        <w:t>accountab</w:t>
      </w:r>
      <w:r w:rsidR="00901240">
        <w:t>le manner</w:t>
      </w:r>
      <w:r w:rsidR="00572A42">
        <w:t>;</w:t>
      </w:r>
      <w:r w:rsidR="00901240" w:rsidRPr="005745D1">
        <w:t xml:space="preserve"> patients</w:t>
      </w:r>
      <w:r w:rsidR="00901240">
        <w:t xml:space="preserve"> need to be</w:t>
      </w:r>
      <w:r w:rsidR="00901240" w:rsidRPr="005745D1">
        <w:t xml:space="preserve"> aware</w:t>
      </w:r>
      <w:r w:rsidR="00901240">
        <w:t xml:space="preserve"> that they receive the </w:t>
      </w:r>
      <w:proofErr w:type="gramStart"/>
      <w:r w:rsidR="00901240">
        <w:t>enablers</w:t>
      </w:r>
      <w:proofErr w:type="gramEnd"/>
      <w:r w:rsidR="00901240">
        <w:t xml:space="preserve"> package and not just a personal support from the nurse. </w:t>
      </w:r>
    </w:p>
    <w:p w:rsidR="00AC6E6A" w:rsidRDefault="00AC6E6A" w:rsidP="005745D1">
      <w:pPr>
        <w:spacing w:after="0"/>
        <w:ind w:left="360"/>
        <w:jc w:val="both"/>
      </w:pPr>
      <w:r>
        <w:t xml:space="preserve">While some OC members wished that they are invited for the subsequent GHS review meetings, others </w:t>
      </w:r>
      <w:r w:rsidR="00186A2C">
        <w:t>p</w:t>
      </w:r>
      <w:r>
        <w:t>ointed out that some of them were invited through their organizations (e.g. WHO, UNAIDS). OC members agreed that a representation of the OCs at GHS review meetings needs to be ensured and also suggested to get a short slot for a presentation on main findings of CCM oversight.</w:t>
      </w:r>
    </w:p>
    <w:p w:rsidR="005C34A6" w:rsidRPr="005C34A6" w:rsidRDefault="005C34A6" w:rsidP="005C34A6">
      <w:pPr>
        <w:spacing w:after="0"/>
        <w:ind w:left="360"/>
        <w:jc w:val="both"/>
      </w:pPr>
    </w:p>
    <w:p w:rsidR="00D3369F" w:rsidRDefault="00D3369F" w:rsidP="00FC72F1">
      <w:pPr>
        <w:numPr>
          <w:ilvl w:val="0"/>
          <w:numId w:val="6"/>
        </w:numPr>
        <w:spacing w:after="0"/>
        <w:jc w:val="both"/>
        <w:rPr>
          <w:b/>
        </w:rPr>
      </w:pPr>
      <w:r>
        <w:rPr>
          <w:b/>
        </w:rPr>
        <w:t>Meeting with NTP</w:t>
      </w:r>
    </w:p>
    <w:p w:rsidR="00B872BB" w:rsidRDefault="00B02C61" w:rsidP="00B02C61">
      <w:pPr>
        <w:tabs>
          <w:tab w:val="num" w:pos="1440"/>
        </w:tabs>
        <w:spacing w:after="0"/>
        <w:ind w:left="360"/>
        <w:jc w:val="both"/>
      </w:pPr>
      <w:r w:rsidRPr="00B02C61">
        <w:t xml:space="preserve">Annekatrin El Oumrany met on behalf of the OC with NTP to discuss challenges related to procurement and performance. </w:t>
      </w:r>
      <w:r>
        <w:t xml:space="preserve">She informed the meeting that while </w:t>
      </w:r>
      <w:r w:rsidR="00F95422">
        <w:t>shipment</w:t>
      </w:r>
      <w:r>
        <w:t xml:space="preserve"> delays did occur, NTP had acknowledged that the o</w:t>
      </w:r>
      <w:r w:rsidR="003368A6" w:rsidRPr="00B02C61">
        <w:t>rders for TB med</w:t>
      </w:r>
      <w:r w:rsidR="00433872">
        <w:t>icine</w:t>
      </w:r>
      <w:r w:rsidR="003368A6" w:rsidRPr="00B02C61">
        <w:t xml:space="preserve">s and sputum containers </w:t>
      </w:r>
      <w:r>
        <w:t xml:space="preserve">were </w:t>
      </w:r>
      <w:r w:rsidR="003368A6" w:rsidRPr="00B02C61">
        <w:t>placed</w:t>
      </w:r>
      <w:r w:rsidR="00F95422">
        <w:t xml:space="preserve"> </w:t>
      </w:r>
      <w:r>
        <w:t>late (</w:t>
      </w:r>
      <w:r w:rsidR="003368A6" w:rsidRPr="00B02C61">
        <w:t>March</w:t>
      </w:r>
      <w:r>
        <w:t xml:space="preserve"> 2017</w:t>
      </w:r>
      <w:r w:rsidR="00F95422">
        <w:t>)</w:t>
      </w:r>
      <w:r w:rsidR="00433872">
        <w:t xml:space="preserve"> considering the stock levels</w:t>
      </w:r>
      <w:r w:rsidR="005A72FC">
        <w:rPr>
          <w:rStyle w:val="FootnoteReference"/>
        </w:rPr>
        <w:footnoteReference w:id="1"/>
      </w:r>
      <w:r w:rsidR="003368A6" w:rsidRPr="00B02C61">
        <w:t xml:space="preserve">. </w:t>
      </w:r>
      <w:r w:rsidR="00C26A4C">
        <w:t xml:space="preserve">The NTP reported that </w:t>
      </w:r>
      <w:r>
        <w:t xml:space="preserve">a PSM officer was recruited </w:t>
      </w:r>
      <w:r w:rsidR="00186A2C">
        <w:t>who</w:t>
      </w:r>
      <w:r>
        <w:t xml:space="preserve"> </w:t>
      </w:r>
      <w:r w:rsidR="00C26A4C">
        <w:t xml:space="preserve">will be responsible for logistics to </w:t>
      </w:r>
      <w:r>
        <w:t>ensure timely orders in future. The n</w:t>
      </w:r>
      <w:r w:rsidR="003368A6" w:rsidRPr="00B02C61">
        <w:t>ew clearing / tax exemption procedures</w:t>
      </w:r>
      <w:r>
        <w:t xml:space="preserve"> have further significantly delayed the availability of pediatric TB medication and sputum containers in the regions. A general exemption for all program commodities for the entire grant period is being prepared but needs to be approved by parliament, which is expected to take more time. Until then for each shipment a specific exemption is required that needs to be processed by the new RMU at MoH. Because of the lack of experience of the RMU, NTP </w:t>
      </w:r>
      <w:r>
        <w:lastRenderedPageBreak/>
        <w:t xml:space="preserve">emphases the importance of a meeting of the programs with the RMU to provide the RMU with an understanding of the urgency of certain processes. </w:t>
      </w:r>
    </w:p>
    <w:p w:rsidR="00B872BB" w:rsidRDefault="00B872BB" w:rsidP="00B02C61">
      <w:pPr>
        <w:tabs>
          <w:tab w:val="num" w:pos="1440"/>
        </w:tabs>
        <w:spacing w:after="0"/>
        <w:ind w:left="360"/>
        <w:jc w:val="both"/>
      </w:pPr>
    </w:p>
    <w:p w:rsidR="005745D1" w:rsidRDefault="00B872BB" w:rsidP="00B872BB">
      <w:pPr>
        <w:numPr>
          <w:ilvl w:val="0"/>
          <w:numId w:val="6"/>
        </w:numPr>
        <w:tabs>
          <w:tab w:val="num" w:pos="1440"/>
        </w:tabs>
        <w:spacing w:after="0"/>
        <w:jc w:val="both"/>
        <w:rPr>
          <w:b/>
        </w:rPr>
      </w:pPr>
      <w:r w:rsidRPr="00B872BB">
        <w:rPr>
          <w:b/>
        </w:rPr>
        <w:t>Final burn rates</w:t>
      </w:r>
      <w:r w:rsidR="00B02C61" w:rsidRPr="00B872BB">
        <w:rPr>
          <w:b/>
        </w:rPr>
        <w:t xml:space="preserve"> </w:t>
      </w:r>
    </w:p>
    <w:tbl>
      <w:tblPr>
        <w:tblW w:w="6378" w:type="dxa"/>
        <w:tblInd w:w="421" w:type="dxa"/>
        <w:tblCellMar>
          <w:left w:w="0" w:type="dxa"/>
          <w:right w:w="0" w:type="dxa"/>
        </w:tblCellMar>
        <w:tblLook w:val="0600" w:firstRow="0" w:lastRow="0" w:firstColumn="0" w:lastColumn="0" w:noHBand="1" w:noVBand="1"/>
      </w:tblPr>
      <w:tblGrid>
        <w:gridCol w:w="992"/>
        <w:gridCol w:w="1417"/>
        <w:gridCol w:w="1560"/>
        <w:gridCol w:w="1275"/>
        <w:gridCol w:w="1134"/>
      </w:tblGrid>
      <w:tr w:rsidR="00B872BB" w:rsidRPr="00B872BB" w:rsidTr="00B872BB">
        <w:tc>
          <w:tcPr>
            <w:tcW w:w="992"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hideMark/>
          </w:tcPr>
          <w:p w:rsidR="00B872BB" w:rsidRPr="00B872BB" w:rsidRDefault="00B872BB" w:rsidP="00B872BB">
            <w:pPr>
              <w:spacing w:after="0"/>
              <w:ind w:left="126"/>
              <w:rPr>
                <w:b/>
              </w:rPr>
            </w:pPr>
            <w:r w:rsidRPr="00B872BB">
              <w:rPr>
                <w:b/>
                <w:bCs/>
              </w:rPr>
              <w:t>Disease</w:t>
            </w:r>
          </w:p>
        </w:tc>
        <w:tc>
          <w:tcPr>
            <w:tcW w:w="1417"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hideMark/>
          </w:tcPr>
          <w:p w:rsidR="00B872BB" w:rsidRPr="00B872BB" w:rsidRDefault="00B872BB" w:rsidP="00B872BB">
            <w:pPr>
              <w:spacing w:after="0"/>
              <w:ind w:left="127"/>
              <w:jc w:val="both"/>
              <w:rPr>
                <w:b/>
              </w:rPr>
            </w:pPr>
            <w:r w:rsidRPr="00B872BB">
              <w:rPr>
                <w:b/>
                <w:bCs/>
              </w:rPr>
              <w:t>Total budget</w:t>
            </w:r>
          </w:p>
        </w:tc>
        <w:tc>
          <w:tcPr>
            <w:tcW w:w="1560"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hideMark/>
          </w:tcPr>
          <w:p w:rsidR="00B872BB" w:rsidRPr="00B872BB" w:rsidRDefault="00B872BB" w:rsidP="00B872BB">
            <w:pPr>
              <w:spacing w:after="0"/>
              <w:ind w:left="127"/>
              <w:jc w:val="both"/>
              <w:rPr>
                <w:b/>
              </w:rPr>
            </w:pPr>
            <w:r w:rsidRPr="00B872BB">
              <w:rPr>
                <w:b/>
                <w:bCs/>
              </w:rPr>
              <w:t>Expenditures</w:t>
            </w:r>
          </w:p>
        </w:tc>
        <w:tc>
          <w:tcPr>
            <w:tcW w:w="1275"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hideMark/>
          </w:tcPr>
          <w:p w:rsidR="00B872BB" w:rsidRPr="00B872BB" w:rsidRDefault="00B872BB" w:rsidP="00B872BB">
            <w:pPr>
              <w:spacing w:after="0"/>
              <w:ind w:left="126"/>
              <w:jc w:val="both"/>
              <w:rPr>
                <w:b/>
              </w:rPr>
            </w:pPr>
            <w:r w:rsidRPr="00B872BB">
              <w:rPr>
                <w:b/>
                <w:bCs/>
              </w:rPr>
              <w:t>Burn rate</w:t>
            </w:r>
          </w:p>
          <w:p w:rsidR="00B872BB" w:rsidRPr="00B872BB" w:rsidRDefault="00B872BB" w:rsidP="00B872BB">
            <w:pPr>
              <w:spacing w:after="0"/>
              <w:ind w:left="126"/>
              <w:jc w:val="both"/>
              <w:rPr>
                <w:b/>
              </w:rPr>
            </w:pPr>
            <w:r w:rsidRPr="00B872BB">
              <w:rPr>
                <w:b/>
                <w:bCs/>
              </w:rPr>
              <w:t>2015-2017</w:t>
            </w:r>
          </w:p>
        </w:tc>
        <w:tc>
          <w:tcPr>
            <w:tcW w:w="1134"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hideMark/>
          </w:tcPr>
          <w:p w:rsidR="00B872BB" w:rsidRPr="00B872BB" w:rsidRDefault="00B872BB" w:rsidP="00B872BB">
            <w:pPr>
              <w:spacing w:after="0"/>
              <w:ind w:left="127"/>
              <w:jc w:val="both"/>
            </w:pPr>
            <w:r w:rsidRPr="00B872BB">
              <w:rPr>
                <w:bCs/>
              </w:rPr>
              <w:t>Burn rate</w:t>
            </w:r>
          </w:p>
          <w:p w:rsidR="00B872BB" w:rsidRPr="00B872BB" w:rsidRDefault="00B872BB" w:rsidP="00B872BB">
            <w:pPr>
              <w:spacing w:after="0"/>
              <w:ind w:left="127"/>
              <w:jc w:val="both"/>
            </w:pPr>
            <w:r w:rsidRPr="00B872BB">
              <w:rPr>
                <w:bCs/>
              </w:rPr>
              <w:t>last grant</w:t>
            </w:r>
          </w:p>
        </w:tc>
      </w:tr>
      <w:tr w:rsidR="00B872BB" w:rsidRPr="00B872BB" w:rsidTr="00B872BB">
        <w:trPr>
          <w:trHeight w:val="28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rPr>
                <w:b/>
              </w:rPr>
            </w:pPr>
            <w:r w:rsidRPr="00B872BB">
              <w:rPr>
                <w:b/>
                <w:bCs/>
              </w:rPr>
              <w:t>HIV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both"/>
              <w:rPr>
                <w:b/>
              </w:rPr>
            </w:pPr>
            <w:r w:rsidRPr="00B872BB">
              <w:rPr>
                <w:b/>
                <w:bCs/>
              </w:rPr>
              <w:t>98.5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both"/>
              <w:rPr>
                <w:b/>
              </w:rPr>
            </w:pPr>
            <w:r w:rsidRPr="00B872BB">
              <w:rPr>
                <w:b/>
                <w:bCs/>
              </w:rPr>
              <w:t>91.0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both"/>
              <w:rPr>
                <w:b/>
              </w:rPr>
            </w:pPr>
            <w:r w:rsidRPr="00B872BB">
              <w:rPr>
                <w:b/>
                <w:bCs/>
              </w:rPr>
              <w:t>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both"/>
            </w:pPr>
            <w:r w:rsidRPr="00B872BB">
              <w:rPr>
                <w:bCs/>
              </w:rPr>
              <w:t>83%</w:t>
            </w:r>
          </w:p>
        </w:tc>
      </w:tr>
      <w:tr w:rsidR="00B872BB" w:rsidRPr="00B872BB" w:rsidTr="00B872BB">
        <w:trPr>
          <w:trHeight w:val="9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NACP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80.7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75.6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79%</w:t>
            </w:r>
          </w:p>
        </w:tc>
      </w:tr>
      <w:tr w:rsidR="00B872BB" w:rsidRPr="00B872BB" w:rsidTr="00B872BB">
        <w:trPr>
          <w:trHeight w:val="18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GAC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11.1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96%</w:t>
            </w:r>
          </w:p>
        </w:tc>
      </w:tr>
      <w:tr w:rsidR="00B872BB" w:rsidRPr="00B872BB" w:rsidTr="00B872BB">
        <w:trPr>
          <w:trHeight w:val="27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ADRA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100%</w:t>
            </w:r>
          </w:p>
        </w:tc>
      </w:tr>
      <w:tr w:rsidR="00B872BB" w:rsidRPr="00B872BB" w:rsidTr="00B872BB">
        <w:trPr>
          <w:trHeight w:val="81"/>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PPAG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jc w:val="right"/>
            </w:pPr>
            <w:r w:rsidRPr="00B872BB">
              <w:rPr>
                <w:i/>
                <w:iCs/>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right"/>
            </w:pPr>
            <w:r w:rsidRPr="00B872BB">
              <w:rPr>
                <w:i/>
                <w:iCs/>
              </w:rPr>
              <w:t>100%</w:t>
            </w:r>
          </w:p>
        </w:tc>
      </w:tr>
      <w:tr w:rsidR="00B872BB" w:rsidRPr="00B872BB" w:rsidTr="00B872BB">
        <w:trPr>
          <w:trHeight w:val="45"/>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6"/>
              <w:rPr>
                <w:b/>
              </w:rPr>
            </w:pPr>
            <w:r w:rsidRPr="00B872BB">
              <w:rPr>
                <w:b/>
                <w:bCs/>
              </w:rPr>
              <w:t xml:space="preserve">TB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160DA5" w:rsidP="00B872BB">
            <w:pPr>
              <w:spacing w:after="0"/>
              <w:ind w:left="127"/>
              <w:jc w:val="both"/>
              <w:rPr>
                <w:b/>
              </w:rPr>
            </w:pPr>
            <w:r>
              <w:rPr>
                <w:b/>
                <w:bCs/>
              </w:rPr>
              <w:t>25.6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both"/>
              <w:rPr>
                <w:b/>
              </w:rPr>
            </w:pPr>
            <w:r w:rsidRPr="00B872BB">
              <w:rPr>
                <w:b/>
                <w:bCs/>
              </w:rPr>
              <w:t>20.7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160DA5" w:rsidP="00B872BB">
            <w:pPr>
              <w:spacing w:after="0"/>
              <w:ind w:left="126"/>
              <w:jc w:val="both"/>
              <w:rPr>
                <w:b/>
              </w:rPr>
            </w:pPr>
            <w:r>
              <w:rPr>
                <w:b/>
                <w:bCs/>
              </w:rPr>
              <w:t>81</w:t>
            </w:r>
            <w:r w:rsidR="00B872BB" w:rsidRPr="00B872BB">
              <w:rPr>
                <w:b/>
                <w:bC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72BB" w:rsidRPr="00B872BB" w:rsidRDefault="00B872BB" w:rsidP="00B872BB">
            <w:pPr>
              <w:spacing w:after="0"/>
              <w:ind w:left="127"/>
              <w:jc w:val="both"/>
            </w:pPr>
            <w:r w:rsidRPr="00B872BB">
              <w:rPr>
                <w:bCs/>
              </w:rPr>
              <w:t>90%</w:t>
            </w:r>
          </w:p>
        </w:tc>
      </w:tr>
    </w:tbl>
    <w:p w:rsidR="00B872BB" w:rsidRDefault="00B872BB" w:rsidP="00B872BB">
      <w:pPr>
        <w:spacing w:after="0"/>
        <w:ind w:left="360"/>
        <w:jc w:val="both"/>
        <w:rPr>
          <w:b/>
        </w:rPr>
      </w:pPr>
    </w:p>
    <w:p w:rsidR="00B872BB" w:rsidRPr="00B872BB" w:rsidRDefault="00B872BB" w:rsidP="00B872BB">
      <w:pPr>
        <w:spacing w:after="0"/>
        <w:ind w:left="360"/>
        <w:jc w:val="both"/>
      </w:pPr>
      <w:r w:rsidRPr="00B872BB">
        <w:t xml:space="preserve">According to the malaria </w:t>
      </w:r>
      <w:r>
        <w:t>dashboards</w:t>
      </w:r>
      <w:r w:rsidRPr="00B872BB">
        <w:t xml:space="preserve">, the total overall burn rate for 2015-2017 is at about 87%, which is </w:t>
      </w:r>
      <w:r>
        <w:t xml:space="preserve">significantly increased compared to the </w:t>
      </w:r>
      <w:r w:rsidRPr="00B872BB">
        <w:t xml:space="preserve">final burn rate of 79% in 2015. However, it was found in the malaria OC meeting that the NMCP final burn rate was much higher than reported. </w:t>
      </w:r>
    </w:p>
    <w:p w:rsidR="001B26C1" w:rsidRPr="00BF5E66" w:rsidRDefault="00E360DF" w:rsidP="00FC72F1">
      <w:pPr>
        <w:pStyle w:val="ListParagraph"/>
        <w:numPr>
          <w:ilvl w:val="0"/>
          <w:numId w:val="1"/>
        </w:numPr>
        <w:spacing w:before="360"/>
        <w:contextualSpacing w:val="0"/>
        <w:rPr>
          <w:color w:val="000000" w:themeColor="text1"/>
          <w:sz w:val="24"/>
          <w:szCs w:val="24"/>
        </w:rPr>
      </w:pPr>
      <w:r w:rsidRPr="001F226D">
        <w:rPr>
          <w:b/>
          <w:color w:val="C00000"/>
          <w:sz w:val="24"/>
          <w:szCs w:val="24"/>
        </w:rPr>
        <w:t>PPAG Dash Board</w:t>
      </w:r>
      <w:r w:rsidR="00BF5E66">
        <w:rPr>
          <w:b/>
          <w:color w:val="C00000"/>
          <w:sz w:val="24"/>
          <w:szCs w:val="24"/>
        </w:rPr>
        <w:t xml:space="preserve">: </w:t>
      </w:r>
      <w:r w:rsidR="00BF5E66">
        <w:rPr>
          <w:b/>
          <w:color w:val="C00000"/>
          <w:sz w:val="24"/>
          <w:szCs w:val="24"/>
        </w:rPr>
        <w:br/>
      </w:r>
      <w:r w:rsidR="00BF5E66" w:rsidRPr="00BF5E66">
        <w:rPr>
          <w:color w:val="000000" w:themeColor="text1"/>
          <w:sz w:val="24"/>
          <w:szCs w:val="24"/>
        </w:rPr>
        <w:t xml:space="preserve">Because </w:t>
      </w:r>
      <w:r w:rsidR="00BF5E66">
        <w:rPr>
          <w:color w:val="000000" w:themeColor="text1"/>
          <w:sz w:val="24"/>
          <w:szCs w:val="24"/>
        </w:rPr>
        <w:t>PPAG will not continue as a PR and since performance was usually A-rated, the OC team did not see the necessity of a meeting. The comments below derive from an email exchange on a few minor issues</w:t>
      </w:r>
    </w:p>
    <w:p w:rsidR="003C6BC3" w:rsidRDefault="003C6BC3" w:rsidP="00160DA5">
      <w:pPr>
        <w:pStyle w:val="ListParagraph"/>
        <w:numPr>
          <w:ilvl w:val="0"/>
          <w:numId w:val="5"/>
        </w:numPr>
        <w:spacing w:after="0"/>
        <w:ind w:left="357" w:hanging="357"/>
        <w:contextualSpacing w:val="0"/>
        <w:jc w:val="both"/>
        <w:rPr>
          <w:b/>
        </w:rPr>
      </w:pPr>
      <w:r>
        <w:rPr>
          <w:b/>
        </w:rPr>
        <w:t>Follow up:</w:t>
      </w:r>
    </w:p>
    <w:p w:rsidR="00412F3B" w:rsidRDefault="00F54C31" w:rsidP="00FC72F1">
      <w:pPr>
        <w:pStyle w:val="ListParagraph"/>
        <w:numPr>
          <w:ilvl w:val="0"/>
          <w:numId w:val="11"/>
        </w:numPr>
        <w:spacing w:after="0" w:line="240" w:lineRule="auto"/>
        <w:contextualSpacing w:val="0"/>
        <w:rPr>
          <w:color w:val="000000" w:themeColor="text1"/>
        </w:rPr>
      </w:pPr>
      <w:r w:rsidRPr="00155540">
        <w:rPr>
          <w:b/>
          <w:color w:val="000000" w:themeColor="text1"/>
        </w:rPr>
        <w:t>Distribution of certificates to all PEs:</w:t>
      </w:r>
      <w:r>
        <w:rPr>
          <w:color w:val="000000" w:themeColor="text1"/>
        </w:rPr>
        <w:t xml:space="preserve"> </w:t>
      </w:r>
      <w:r w:rsidR="00155540">
        <w:rPr>
          <w:color w:val="000000" w:themeColor="text1"/>
        </w:rPr>
        <w:t>Distributed in December</w:t>
      </w:r>
    </w:p>
    <w:p w:rsidR="003C6BC3" w:rsidRDefault="00F54C31" w:rsidP="00FC72F1">
      <w:pPr>
        <w:pStyle w:val="ListParagraph"/>
        <w:numPr>
          <w:ilvl w:val="0"/>
          <w:numId w:val="11"/>
        </w:numPr>
        <w:spacing w:after="0" w:line="240" w:lineRule="auto"/>
        <w:contextualSpacing w:val="0"/>
        <w:rPr>
          <w:color w:val="000000" w:themeColor="text1"/>
        </w:rPr>
      </w:pPr>
      <w:r w:rsidRPr="00155540">
        <w:rPr>
          <w:b/>
          <w:color w:val="000000" w:themeColor="text1"/>
        </w:rPr>
        <w:t>Way forward for prison interventions:</w:t>
      </w:r>
      <w:r w:rsidR="00155540" w:rsidRPr="00155540">
        <w:rPr>
          <w:color w:val="000000" w:themeColor="text1"/>
        </w:rPr>
        <w:t xml:space="preserve"> the NMCP has contacted the Ghana Prisons Head Quarters on a planned IRS in the prisons. The HIV Programme Manager (Ghana Prisons Head Quarters) has also been introduced to the Programme Managers of NACP and NTP respectively for possible interventions in the prisons under their respective programs.  </w:t>
      </w:r>
    </w:p>
    <w:p w:rsidR="00155540" w:rsidRPr="00155540" w:rsidRDefault="00155540" w:rsidP="00155540">
      <w:pPr>
        <w:pStyle w:val="ListParagraph"/>
        <w:spacing w:after="0" w:line="240" w:lineRule="auto"/>
        <w:ind w:left="717"/>
        <w:contextualSpacing w:val="0"/>
        <w:rPr>
          <w:color w:val="000000" w:themeColor="text1"/>
        </w:rPr>
      </w:pPr>
    </w:p>
    <w:p w:rsidR="00E360DF" w:rsidRPr="00962157" w:rsidRDefault="00E360DF" w:rsidP="00FC72F1">
      <w:pPr>
        <w:pStyle w:val="ListParagraph"/>
        <w:numPr>
          <w:ilvl w:val="0"/>
          <w:numId w:val="5"/>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E360DF" w:rsidRPr="00BF5E66" w:rsidRDefault="00BF5E66" w:rsidP="00676A24">
            <w:pPr>
              <w:pStyle w:val="ListParagraph"/>
              <w:spacing w:before="120"/>
              <w:ind w:left="0"/>
              <w:contextualSpacing w:val="0"/>
              <w:rPr>
                <w:rFonts w:cstheme="minorHAnsi"/>
              </w:rPr>
            </w:pPr>
            <w:r w:rsidRPr="00BF5E66">
              <w:rPr>
                <w:rFonts w:cstheme="minorHAnsi"/>
              </w:rPr>
              <w:t>86%</w:t>
            </w:r>
          </w:p>
        </w:tc>
        <w:tc>
          <w:tcPr>
            <w:tcW w:w="4710" w:type="dxa"/>
          </w:tcPr>
          <w:p w:rsidR="00E360DF" w:rsidRPr="001571F6" w:rsidRDefault="00E360DF" w:rsidP="00403A95">
            <w:pPr>
              <w:pStyle w:val="ListParagraph"/>
              <w:spacing w:before="120"/>
              <w:ind w:left="0"/>
              <w:contextualSpacing w:val="0"/>
              <w:jc w:val="both"/>
            </w:pPr>
          </w:p>
        </w:tc>
      </w:tr>
      <w:tr w:rsidR="0015382A" w:rsidTr="00F1000E">
        <w:tc>
          <w:tcPr>
            <w:tcW w:w="1906" w:type="dxa"/>
          </w:tcPr>
          <w:p w:rsidR="0015382A" w:rsidRDefault="0015382A" w:rsidP="00403A95">
            <w:pPr>
              <w:pStyle w:val="ListParagraph"/>
              <w:spacing w:before="120"/>
              <w:ind w:left="0"/>
              <w:contextualSpacing w:val="0"/>
              <w:jc w:val="both"/>
              <w:rPr>
                <w:b/>
              </w:rPr>
            </w:pPr>
            <w:r>
              <w:rPr>
                <w:b/>
              </w:rPr>
              <w:t>Disaggregated absorption rate</w:t>
            </w:r>
            <w:r w:rsidR="00F1000E">
              <w:rPr>
                <w:b/>
              </w:rPr>
              <w:t xml:space="preserve"> by grant objective</w:t>
            </w:r>
          </w:p>
        </w:tc>
        <w:tc>
          <w:tcPr>
            <w:tcW w:w="2977" w:type="dxa"/>
          </w:tcPr>
          <w:p w:rsidR="0015382A" w:rsidRPr="00BF5E66" w:rsidRDefault="008870E9" w:rsidP="008870E9">
            <w:pPr>
              <w:pStyle w:val="ListParagraph"/>
              <w:spacing w:before="120"/>
              <w:ind w:left="0"/>
              <w:contextualSpacing w:val="0"/>
              <w:rPr>
                <w:rFonts w:cstheme="minorHAnsi"/>
              </w:rPr>
            </w:pPr>
            <w:r w:rsidRPr="00BF5E66">
              <w:rPr>
                <w:rFonts w:cstheme="minorHAnsi"/>
                <w:color w:val="000000"/>
                <w:sz w:val="14"/>
                <w:szCs w:val="14"/>
              </w:rPr>
              <w:t xml:space="preserve"> </w:t>
            </w:r>
            <w:r w:rsidRPr="00BF5E66">
              <w:rPr>
                <w:rFonts w:cstheme="minorHAnsi"/>
                <w:color w:val="000000"/>
              </w:rPr>
              <w:t>&gt;60,000 spent for products and equipment – what for?</w:t>
            </w:r>
          </w:p>
        </w:tc>
        <w:tc>
          <w:tcPr>
            <w:tcW w:w="4710" w:type="dxa"/>
          </w:tcPr>
          <w:p w:rsidR="0015382A" w:rsidRPr="001571F6" w:rsidRDefault="008870E9" w:rsidP="00403A95">
            <w:pPr>
              <w:pStyle w:val="ListParagraph"/>
              <w:spacing w:before="120"/>
              <w:ind w:left="0"/>
              <w:contextualSpacing w:val="0"/>
              <w:jc w:val="both"/>
            </w:pPr>
            <w:r>
              <w:t>Procurement of hygiene kits</w:t>
            </w:r>
          </w:p>
        </w:tc>
      </w:tr>
    </w:tbl>
    <w:p w:rsidR="0015382A" w:rsidRPr="0015382A" w:rsidRDefault="0015382A" w:rsidP="00FC72F1">
      <w:pPr>
        <w:pStyle w:val="ListParagraph"/>
        <w:numPr>
          <w:ilvl w:val="0"/>
          <w:numId w:val="5"/>
        </w:numPr>
        <w:spacing w:before="360" w:after="120"/>
        <w:ind w:left="357" w:hanging="357"/>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15382A" w:rsidTr="0015382A">
        <w:tc>
          <w:tcPr>
            <w:tcW w:w="1765" w:type="dxa"/>
          </w:tcPr>
          <w:p w:rsidR="0015382A" w:rsidRDefault="0015382A" w:rsidP="007461FA">
            <w:pPr>
              <w:pStyle w:val="ListParagraph"/>
              <w:spacing w:before="120"/>
              <w:ind w:left="0"/>
              <w:contextualSpacing w:val="0"/>
              <w:jc w:val="both"/>
              <w:rPr>
                <w:b/>
              </w:rPr>
            </w:pPr>
            <w:r>
              <w:rPr>
                <w:b/>
              </w:rPr>
              <w:t>Indicator</w:t>
            </w:r>
          </w:p>
        </w:tc>
        <w:tc>
          <w:tcPr>
            <w:tcW w:w="3118" w:type="dxa"/>
          </w:tcPr>
          <w:p w:rsidR="0015382A" w:rsidRDefault="0015382A" w:rsidP="007461FA">
            <w:pPr>
              <w:pStyle w:val="ListParagraph"/>
              <w:spacing w:before="120"/>
              <w:ind w:left="0"/>
              <w:contextualSpacing w:val="0"/>
              <w:jc w:val="both"/>
              <w:rPr>
                <w:b/>
              </w:rPr>
            </w:pPr>
            <w:r>
              <w:rPr>
                <w:b/>
              </w:rPr>
              <w:t xml:space="preserve">Observation  </w:t>
            </w:r>
          </w:p>
        </w:tc>
        <w:tc>
          <w:tcPr>
            <w:tcW w:w="4710" w:type="dxa"/>
          </w:tcPr>
          <w:p w:rsidR="0015382A" w:rsidRDefault="0015382A" w:rsidP="007461FA">
            <w:pPr>
              <w:pStyle w:val="ListParagraph"/>
              <w:spacing w:before="120"/>
              <w:ind w:left="0"/>
              <w:contextualSpacing w:val="0"/>
              <w:jc w:val="both"/>
              <w:rPr>
                <w:b/>
              </w:rPr>
            </w:pPr>
            <w:r>
              <w:rPr>
                <w:b/>
              </w:rPr>
              <w:t xml:space="preserve">Answer / Decision </w:t>
            </w:r>
          </w:p>
        </w:tc>
      </w:tr>
      <w:tr w:rsidR="0015382A" w:rsidTr="0015382A">
        <w:trPr>
          <w:trHeight w:val="558"/>
        </w:trPr>
        <w:tc>
          <w:tcPr>
            <w:tcW w:w="1765" w:type="dxa"/>
          </w:tcPr>
          <w:p w:rsidR="0015382A" w:rsidRDefault="0015382A" w:rsidP="0015382A">
            <w:pPr>
              <w:pStyle w:val="ListParagraph"/>
              <w:spacing w:before="120"/>
              <w:ind w:left="0"/>
              <w:contextualSpacing w:val="0"/>
              <w:rPr>
                <w:b/>
              </w:rPr>
            </w:pPr>
            <w:r>
              <w:rPr>
                <w:b/>
              </w:rPr>
              <w:t>Availability of commodities</w:t>
            </w:r>
          </w:p>
        </w:tc>
        <w:tc>
          <w:tcPr>
            <w:tcW w:w="3118" w:type="dxa"/>
          </w:tcPr>
          <w:p w:rsidR="0015382A" w:rsidRPr="001571F6" w:rsidRDefault="008870E9" w:rsidP="007461FA">
            <w:pPr>
              <w:spacing w:before="120"/>
            </w:pPr>
            <w:r>
              <w:t xml:space="preserve">Q3: 7MoS for hygiene kits and test kits. </w:t>
            </w:r>
          </w:p>
        </w:tc>
        <w:tc>
          <w:tcPr>
            <w:tcW w:w="4710" w:type="dxa"/>
          </w:tcPr>
          <w:p w:rsidR="0015382A" w:rsidRPr="001571F6" w:rsidRDefault="008870E9" w:rsidP="0015382A">
            <w:pPr>
              <w:pStyle w:val="ListParagraph"/>
              <w:spacing w:before="120"/>
              <w:ind w:left="0"/>
              <w:contextualSpacing w:val="0"/>
            </w:pPr>
            <w:r>
              <w:t>All distributed to prison authorities. Infirmary nurses continue HTS on their own</w:t>
            </w:r>
          </w:p>
        </w:tc>
      </w:tr>
    </w:tbl>
    <w:p w:rsidR="0015382A" w:rsidRPr="0015382A" w:rsidRDefault="00E360DF" w:rsidP="00FC72F1">
      <w:pPr>
        <w:pStyle w:val="ListParagraph"/>
        <w:numPr>
          <w:ilvl w:val="0"/>
          <w:numId w:val="5"/>
        </w:numPr>
        <w:spacing w:before="360" w:after="120"/>
        <w:ind w:left="357" w:hanging="357"/>
        <w:contextualSpacing w:val="0"/>
        <w:jc w:val="both"/>
        <w:rPr>
          <w:b/>
        </w:rPr>
      </w:pPr>
      <w:r w:rsidRPr="007D6E1C">
        <w:rPr>
          <w:b/>
        </w:rPr>
        <w:lastRenderedPageBreak/>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2190"/>
        <w:gridCol w:w="2977"/>
        <w:gridCol w:w="4426"/>
      </w:tblGrid>
      <w:tr w:rsidR="00E360DF" w:rsidTr="00160DA5">
        <w:tc>
          <w:tcPr>
            <w:tcW w:w="2190"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426"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160DA5">
        <w:trPr>
          <w:trHeight w:val="558"/>
        </w:trPr>
        <w:tc>
          <w:tcPr>
            <w:tcW w:w="2190" w:type="dxa"/>
          </w:tcPr>
          <w:p w:rsidR="00E360DF" w:rsidRDefault="007D3D8F" w:rsidP="007D3D8F">
            <w:pPr>
              <w:pStyle w:val="ListParagraph"/>
              <w:spacing w:before="120"/>
              <w:ind w:left="0"/>
              <w:contextualSpacing w:val="0"/>
              <w:rPr>
                <w:b/>
              </w:rPr>
            </w:pPr>
            <w:r>
              <w:rPr>
                <w:b/>
              </w:rPr>
              <w:t xml:space="preserve">% HIV prevention </w:t>
            </w:r>
          </w:p>
        </w:tc>
        <w:tc>
          <w:tcPr>
            <w:tcW w:w="2977" w:type="dxa"/>
          </w:tcPr>
          <w:p w:rsidR="00E360DF" w:rsidRPr="001571F6" w:rsidRDefault="003B63FB" w:rsidP="008870E9">
            <w:pPr>
              <w:jc w:val="both"/>
            </w:pPr>
            <w:r>
              <w:t>102%</w:t>
            </w:r>
          </w:p>
        </w:tc>
        <w:tc>
          <w:tcPr>
            <w:tcW w:w="4426" w:type="dxa"/>
          </w:tcPr>
          <w:p w:rsidR="00E360DF" w:rsidRPr="001571F6" w:rsidRDefault="00E360DF" w:rsidP="00160DA5">
            <w:pPr>
              <w:jc w:val="both"/>
            </w:pPr>
          </w:p>
        </w:tc>
      </w:tr>
      <w:tr w:rsidR="00E360DF" w:rsidTr="00160DA5">
        <w:tc>
          <w:tcPr>
            <w:tcW w:w="2190" w:type="dxa"/>
          </w:tcPr>
          <w:p w:rsidR="00E360DF" w:rsidRDefault="007D3D8F" w:rsidP="00521189">
            <w:pPr>
              <w:pStyle w:val="ListParagraph"/>
              <w:spacing w:before="120"/>
              <w:ind w:left="0"/>
              <w:contextualSpacing w:val="0"/>
              <w:rPr>
                <w:b/>
              </w:rPr>
            </w:pPr>
            <w:r>
              <w:rPr>
                <w:b/>
              </w:rPr>
              <w:t>% HT</w:t>
            </w:r>
            <w:r w:rsidR="00521189">
              <w:rPr>
                <w:b/>
              </w:rPr>
              <w:t>S</w:t>
            </w:r>
          </w:p>
        </w:tc>
        <w:tc>
          <w:tcPr>
            <w:tcW w:w="2977" w:type="dxa"/>
          </w:tcPr>
          <w:p w:rsidR="00E360DF" w:rsidRPr="00155540" w:rsidRDefault="003B63FB" w:rsidP="00A338EB">
            <w:pPr>
              <w:jc w:val="both"/>
              <w:rPr>
                <w:rFonts w:ascii="Calibri" w:hAnsi="Calibri" w:cs="Calibri"/>
                <w:bCs/>
                <w:color w:val="000000"/>
              </w:rPr>
            </w:pPr>
            <w:r>
              <w:rPr>
                <w:rFonts w:ascii="Calibri" w:hAnsi="Calibri" w:cs="Calibri"/>
                <w:color w:val="000000"/>
              </w:rPr>
              <w:t xml:space="preserve">86% </w:t>
            </w:r>
            <w:r w:rsidR="008870E9" w:rsidRPr="00155540">
              <w:rPr>
                <w:rFonts w:ascii="Calibri" w:hAnsi="Calibri" w:cs="Calibri"/>
                <w:color w:val="000000"/>
              </w:rPr>
              <w:t xml:space="preserve">Middle zone and Southern zone had </w:t>
            </w:r>
            <w:r w:rsidR="00A338EB">
              <w:rPr>
                <w:rFonts w:ascii="Calibri" w:hAnsi="Calibri" w:cs="Calibri"/>
                <w:color w:val="000000"/>
              </w:rPr>
              <w:t>consistently much higher achievement rates than</w:t>
            </w:r>
            <w:r w:rsidR="008870E9" w:rsidRPr="00155540">
              <w:rPr>
                <w:rFonts w:ascii="Calibri" w:hAnsi="Calibri" w:cs="Calibri"/>
                <w:color w:val="000000"/>
              </w:rPr>
              <w:t xml:space="preserve"> TfSC and Northern</w:t>
            </w:r>
            <w:r w:rsidR="00155540" w:rsidRPr="00155540">
              <w:rPr>
                <w:rFonts w:ascii="Calibri" w:hAnsi="Calibri" w:cs="Calibri"/>
                <w:color w:val="000000"/>
              </w:rPr>
              <w:t>.</w:t>
            </w:r>
            <w:r w:rsidR="008870E9" w:rsidRPr="00155540">
              <w:rPr>
                <w:rFonts w:ascii="Calibri" w:hAnsi="Calibri" w:cs="Calibri"/>
                <w:color w:val="000000"/>
              </w:rPr>
              <w:t xml:space="preserve"> </w:t>
            </w:r>
            <w:r w:rsidR="00A338EB">
              <w:rPr>
                <w:rFonts w:ascii="Calibri" w:hAnsi="Calibri" w:cs="Calibri"/>
                <w:color w:val="000000"/>
              </w:rPr>
              <w:t>Why</w:t>
            </w:r>
            <w:r w:rsidR="008870E9" w:rsidRPr="00155540">
              <w:rPr>
                <w:rFonts w:ascii="Calibri" w:hAnsi="Calibri" w:cs="Calibri"/>
                <w:color w:val="000000"/>
              </w:rPr>
              <w:t xml:space="preserve">? </w:t>
            </w:r>
            <w:r w:rsidR="00155540" w:rsidRPr="00155540">
              <w:rPr>
                <w:rFonts w:ascii="Calibri" w:hAnsi="Calibri" w:cs="Calibri"/>
                <w:color w:val="000000"/>
              </w:rPr>
              <w:t>Similar</w:t>
            </w:r>
            <w:r w:rsidR="008870E9" w:rsidRPr="00155540">
              <w:rPr>
                <w:rFonts w:ascii="Calibri" w:hAnsi="Calibri" w:cs="Calibri"/>
                <w:color w:val="000000"/>
              </w:rPr>
              <w:t xml:space="preserve"> for drama</w:t>
            </w:r>
            <w:r w:rsidR="00155540" w:rsidRPr="00155540">
              <w:rPr>
                <w:rFonts w:ascii="Calibri" w:hAnsi="Calibri" w:cs="Calibri"/>
                <w:color w:val="000000"/>
              </w:rPr>
              <w:t xml:space="preserve">: </w:t>
            </w:r>
            <w:r w:rsidR="008870E9" w:rsidRPr="00155540">
              <w:rPr>
                <w:rFonts w:ascii="Calibri" w:hAnsi="Calibri" w:cs="Calibri"/>
                <w:color w:val="000000"/>
              </w:rPr>
              <w:t>much lower in these two zones while MZ and SZ had an overachievement.</w:t>
            </w:r>
          </w:p>
        </w:tc>
        <w:tc>
          <w:tcPr>
            <w:tcW w:w="4426" w:type="dxa"/>
          </w:tcPr>
          <w:p w:rsidR="00E360DF" w:rsidRPr="00155540" w:rsidRDefault="00155540" w:rsidP="00155540">
            <w:pPr>
              <w:jc w:val="both"/>
              <w:rPr>
                <w:rFonts w:ascii="Calibri" w:hAnsi="Calibri" w:cs="Calibri"/>
              </w:rPr>
            </w:pPr>
            <w:r>
              <w:rPr>
                <w:rFonts w:ascii="Calibri" w:hAnsi="Calibri" w:cs="Calibri"/>
                <w:bCs/>
                <w:color w:val="000000"/>
              </w:rPr>
              <w:t xml:space="preserve">MZ and SZ: those prisons with highest inmate numbers &gt;&gt; </w:t>
            </w:r>
            <w:r w:rsidRPr="00155540">
              <w:rPr>
                <w:rFonts w:ascii="Calibri" w:hAnsi="Calibri" w:cs="Calibri"/>
                <w:bCs/>
                <w:color w:val="000000"/>
              </w:rPr>
              <w:t xml:space="preserve"> eas</w:t>
            </w:r>
            <w:r>
              <w:rPr>
                <w:rFonts w:ascii="Calibri" w:hAnsi="Calibri" w:cs="Calibri"/>
                <w:bCs/>
                <w:color w:val="000000"/>
              </w:rPr>
              <w:t>ier</w:t>
            </w:r>
            <w:r w:rsidRPr="00155540">
              <w:rPr>
                <w:rFonts w:ascii="Calibri" w:hAnsi="Calibri" w:cs="Calibri"/>
                <w:bCs/>
                <w:color w:val="000000"/>
              </w:rPr>
              <w:t xml:space="preserve"> to reach out to more prisoners</w:t>
            </w:r>
            <w:r>
              <w:rPr>
                <w:rFonts w:ascii="Calibri" w:hAnsi="Calibri" w:cs="Calibri"/>
                <w:bCs/>
                <w:color w:val="000000"/>
              </w:rPr>
              <w:t xml:space="preserve"> at a time</w:t>
            </w:r>
            <w:r w:rsidRPr="00155540">
              <w:rPr>
                <w:rFonts w:ascii="Calibri" w:hAnsi="Calibri" w:cs="Calibri"/>
                <w:bCs/>
                <w:color w:val="000000"/>
              </w:rPr>
              <w:t xml:space="preserve"> than in northern zone and TfSC. </w:t>
            </w:r>
          </w:p>
        </w:tc>
      </w:tr>
      <w:tr w:rsidR="007D3D8F" w:rsidTr="00160DA5">
        <w:tc>
          <w:tcPr>
            <w:tcW w:w="2190" w:type="dxa"/>
          </w:tcPr>
          <w:p w:rsidR="007D3D8F" w:rsidRDefault="00103A15" w:rsidP="007D3D8F">
            <w:pPr>
              <w:pStyle w:val="ListParagraph"/>
              <w:spacing w:before="120"/>
              <w:ind w:left="0"/>
              <w:contextualSpacing w:val="0"/>
              <w:rPr>
                <w:b/>
              </w:rPr>
            </w:pPr>
            <w:r>
              <w:rPr>
                <w:b/>
              </w:rPr>
              <w:t># inmates reached through 1:1 or small group discussion</w:t>
            </w:r>
          </w:p>
        </w:tc>
        <w:tc>
          <w:tcPr>
            <w:tcW w:w="2977" w:type="dxa"/>
          </w:tcPr>
          <w:p w:rsidR="007D3D8F" w:rsidRPr="001571F6" w:rsidRDefault="00A338EB" w:rsidP="007D3D8F">
            <w:pPr>
              <w:pStyle w:val="ListParagraph"/>
              <w:spacing w:before="120"/>
              <w:ind w:left="0"/>
              <w:contextualSpacing w:val="0"/>
            </w:pPr>
            <w:r>
              <w:t>101%</w:t>
            </w:r>
          </w:p>
        </w:tc>
        <w:tc>
          <w:tcPr>
            <w:tcW w:w="4426" w:type="dxa"/>
          </w:tcPr>
          <w:p w:rsidR="007D3D8F" w:rsidRPr="001571F6" w:rsidRDefault="007D3D8F" w:rsidP="007D3D8F">
            <w:pPr>
              <w:pStyle w:val="ListParagraph"/>
              <w:spacing w:before="120"/>
              <w:ind w:left="0"/>
              <w:contextualSpacing w:val="0"/>
            </w:pPr>
          </w:p>
        </w:tc>
      </w:tr>
      <w:tr w:rsidR="007D3D8F" w:rsidTr="00160DA5">
        <w:tc>
          <w:tcPr>
            <w:tcW w:w="2190" w:type="dxa"/>
          </w:tcPr>
          <w:p w:rsidR="007D3D8F" w:rsidRDefault="00103A15" w:rsidP="003B5B1A">
            <w:pPr>
              <w:pStyle w:val="ListParagraph"/>
              <w:spacing w:before="120"/>
              <w:ind w:left="0"/>
              <w:contextualSpacing w:val="0"/>
              <w:rPr>
                <w:b/>
              </w:rPr>
            </w:pPr>
            <w:r>
              <w:rPr>
                <w:b/>
              </w:rPr>
              <w:t># referr</w:t>
            </w:r>
            <w:r w:rsidR="003B5B1A">
              <w:rPr>
                <w:b/>
              </w:rPr>
              <w:t>als</w:t>
            </w:r>
            <w:r>
              <w:rPr>
                <w:b/>
              </w:rPr>
              <w:t xml:space="preserve"> after HTS</w:t>
            </w:r>
          </w:p>
        </w:tc>
        <w:tc>
          <w:tcPr>
            <w:tcW w:w="2977" w:type="dxa"/>
          </w:tcPr>
          <w:p w:rsidR="007D3D8F" w:rsidRPr="001571F6" w:rsidRDefault="00A338EB" w:rsidP="007D3D8F">
            <w:pPr>
              <w:pStyle w:val="ListParagraph"/>
              <w:spacing w:before="120"/>
              <w:ind w:left="0"/>
              <w:contextualSpacing w:val="0"/>
            </w:pPr>
            <w:r>
              <w:t>90%</w:t>
            </w:r>
          </w:p>
        </w:tc>
        <w:tc>
          <w:tcPr>
            <w:tcW w:w="4426" w:type="dxa"/>
          </w:tcPr>
          <w:p w:rsidR="007D3D8F" w:rsidRPr="001571F6" w:rsidRDefault="007D3D8F" w:rsidP="007D3D8F">
            <w:pPr>
              <w:pStyle w:val="ListParagraph"/>
              <w:spacing w:before="120"/>
              <w:ind w:left="0"/>
              <w:contextualSpacing w:val="0"/>
            </w:pPr>
          </w:p>
        </w:tc>
      </w:tr>
      <w:tr w:rsidR="007D3D8F" w:rsidTr="00160DA5">
        <w:tc>
          <w:tcPr>
            <w:tcW w:w="2190" w:type="dxa"/>
          </w:tcPr>
          <w:p w:rsidR="007D3D8F" w:rsidRDefault="003B5B1A" w:rsidP="007D3D8F">
            <w:pPr>
              <w:pStyle w:val="ListParagraph"/>
              <w:spacing w:before="120"/>
              <w:ind w:left="0"/>
              <w:contextualSpacing w:val="0"/>
              <w:rPr>
                <w:b/>
              </w:rPr>
            </w:pPr>
            <w:r>
              <w:rPr>
                <w:b/>
              </w:rPr>
              <w:t># referrals TB</w:t>
            </w:r>
          </w:p>
        </w:tc>
        <w:tc>
          <w:tcPr>
            <w:tcW w:w="2977" w:type="dxa"/>
          </w:tcPr>
          <w:p w:rsidR="007D3D8F" w:rsidRPr="00A338EB" w:rsidRDefault="00A338EB" w:rsidP="00160DA5">
            <w:pPr>
              <w:jc w:val="both"/>
              <w:rPr>
                <w:rFonts w:ascii="Times New Roman" w:hAnsi="Times New Roman" w:cs="Times New Roman"/>
                <w:color w:val="000000"/>
              </w:rPr>
            </w:pPr>
            <w:r w:rsidRPr="00160DA5">
              <w:rPr>
                <w:rFonts w:ascii="Calibri" w:hAnsi="Calibri" w:cs="Calibri"/>
                <w:color w:val="000000"/>
              </w:rPr>
              <w:t xml:space="preserve">26% Three of the zones had a &lt;50% performance across the last semester. </w:t>
            </w:r>
            <w:r w:rsidR="00160DA5">
              <w:rPr>
                <w:rFonts w:ascii="Calibri" w:hAnsi="Calibri" w:cs="Calibri"/>
                <w:color w:val="000000"/>
              </w:rPr>
              <w:t>Since</w:t>
            </w:r>
            <w:r w:rsidRPr="00160DA5">
              <w:rPr>
                <w:rFonts w:ascii="Calibri" w:hAnsi="Calibri" w:cs="Calibri"/>
                <w:color w:val="000000"/>
              </w:rPr>
              <w:t xml:space="preserve"> prison nurses were trained on the screening tool, why </w:t>
            </w:r>
            <w:r w:rsidR="00160DA5">
              <w:rPr>
                <w:rFonts w:ascii="Calibri" w:hAnsi="Calibri" w:cs="Calibri"/>
                <w:color w:val="000000"/>
              </w:rPr>
              <w:t>did</w:t>
            </w:r>
            <w:r w:rsidRPr="00160DA5">
              <w:rPr>
                <w:rFonts w:ascii="Calibri" w:hAnsi="Calibri" w:cs="Calibri"/>
                <w:color w:val="000000"/>
              </w:rPr>
              <w:t xml:space="preserve"> performance </w:t>
            </w:r>
            <w:r w:rsidR="00160DA5">
              <w:rPr>
                <w:rFonts w:ascii="Calibri" w:hAnsi="Calibri" w:cs="Calibri"/>
                <w:color w:val="000000"/>
              </w:rPr>
              <w:t>not improve</w:t>
            </w:r>
            <w:r w:rsidRPr="00160DA5">
              <w:rPr>
                <w:rFonts w:ascii="Calibri" w:hAnsi="Calibri" w:cs="Calibri"/>
                <w:color w:val="000000"/>
              </w:rPr>
              <w:t>?</w:t>
            </w:r>
            <w:r w:rsidRPr="00A338EB">
              <w:rPr>
                <w:rFonts w:ascii="Times New Roman" w:hAnsi="Times New Roman" w:cs="Times New Roman"/>
                <w:color w:val="000000"/>
              </w:rPr>
              <w:t xml:space="preserve"> </w:t>
            </w:r>
          </w:p>
        </w:tc>
        <w:tc>
          <w:tcPr>
            <w:tcW w:w="4426" w:type="dxa"/>
          </w:tcPr>
          <w:p w:rsidR="007D3D8F" w:rsidRPr="001571F6" w:rsidRDefault="00A338EB" w:rsidP="007D3D8F">
            <w:pPr>
              <w:pStyle w:val="ListParagraph"/>
              <w:spacing w:before="120"/>
              <w:ind w:left="0"/>
              <w:contextualSpacing w:val="0"/>
            </w:pPr>
            <w:r w:rsidRPr="00A338EB">
              <w:t>They did not identify many cases</w:t>
            </w:r>
          </w:p>
        </w:tc>
      </w:tr>
      <w:tr w:rsidR="007D3D8F" w:rsidTr="00160DA5">
        <w:tc>
          <w:tcPr>
            <w:tcW w:w="2190" w:type="dxa"/>
          </w:tcPr>
          <w:p w:rsidR="007D3D8F" w:rsidRDefault="003B5B1A" w:rsidP="007D3D8F">
            <w:pPr>
              <w:pStyle w:val="ListParagraph"/>
              <w:spacing w:before="120"/>
              <w:ind w:left="0"/>
              <w:contextualSpacing w:val="0"/>
              <w:rPr>
                <w:b/>
              </w:rPr>
            </w:pPr>
            <w:r>
              <w:rPr>
                <w:b/>
              </w:rPr>
              <w:t># hygiene kits distributed</w:t>
            </w:r>
          </w:p>
        </w:tc>
        <w:tc>
          <w:tcPr>
            <w:tcW w:w="2977" w:type="dxa"/>
          </w:tcPr>
          <w:p w:rsidR="007D3D8F" w:rsidRPr="001571F6" w:rsidRDefault="00A338EB" w:rsidP="007D3D8F">
            <w:pPr>
              <w:pStyle w:val="ListParagraph"/>
              <w:spacing w:before="120"/>
              <w:ind w:left="0"/>
              <w:contextualSpacing w:val="0"/>
            </w:pPr>
            <w:r>
              <w:t>227%</w:t>
            </w:r>
          </w:p>
        </w:tc>
        <w:tc>
          <w:tcPr>
            <w:tcW w:w="4426" w:type="dxa"/>
          </w:tcPr>
          <w:p w:rsidR="007D3D8F" w:rsidRPr="001571F6" w:rsidRDefault="007D3D8F" w:rsidP="007D3D8F">
            <w:pPr>
              <w:pStyle w:val="ListParagraph"/>
              <w:spacing w:before="120"/>
              <w:ind w:left="0"/>
              <w:contextualSpacing w:val="0"/>
            </w:pPr>
          </w:p>
        </w:tc>
      </w:tr>
      <w:tr w:rsidR="007D3D8F" w:rsidTr="00160DA5">
        <w:tc>
          <w:tcPr>
            <w:tcW w:w="2190" w:type="dxa"/>
          </w:tcPr>
          <w:p w:rsidR="007D3D8F" w:rsidRDefault="003B5B1A" w:rsidP="007D3D8F">
            <w:pPr>
              <w:pStyle w:val="ListParagraph"/>
              <w:spacing w:before="120"/>
              <w:ind w:left="0"/>
              <w:contextualSpacing w:val="0"/>
              <w:rPr>
                <w:b/>
              </w:rPr>
            </w:pPr>
            <w:r>
              <w:rPr>
                <w:b/>
              </w:rPr>
              <w:t># supervisory and monitoring visits</w:t>
            </w:r>
          </w:p>
        </w:tc>
        <w:tc>
          <w:tcPr>
            <w:tcW w:w="2977" w:type="dxa"/>
          </w:tcPr>
          <w:p w:rsidR="007D3D8F" w:rsidRPr="001571F6" w:rsidRDefault="00A338EB" w:rsidP="007D3D8F">
            <w:pPr>
              <w:pStyle w:val="ListParagraph"/>
              <w:spacing w:before="120"/>
              <w:ind w:left="0"/>
              <w:contextualSpacing w:val="0"/>
            </w:pPr>
            <w:r>
              <w:t>100%</w:t>
            </w:r>
          </w:p>
        </w:tc>
        <w:tc>
          <w:tcPr>
            <w:tcW w:w="4426" w:type="dxa"/>
          </w:tcPr>
          <w:p w:rsidR="007D3D8F" w:rsidRPr="001571F6" w:rsidRDefault="007D3D8F" w:rsidP="007D3D8F">
            <w:pPr>
              <w:pStyle w:val="ListParagraph"/>
              <w:spacing w:before="120"/>
              <w:ind w:left="0"/>
              <w:contextualSpacing w:val="0"/>
            </w:pPr>
          </w:p>
        </w:tc>
      </w:tr>
      <w:tr w:rsidR="007D3D8F" w:rsidTr="00160DA5">
        <w:tc>
          <w:tcPr>
            <w:tcW w:w="2190" w:type="dxa"/>
          </w:tcPr>
          <w:p w:rsidR="007D3D8F" w:rsidRDefault="003B5B1A" w:rsidP="007D3D8F">
            <w:pPr>
              <w:pStyle w:val="ListParagraph"/>
              <w:spacing w:before="120"/>
              <w:ind w:left="0"/>
              <w:contextualSpacing w:val="0"/>
              <w:rPr>
                <w:b/>
              </w:rPr>
            </w:pPr>
            <w:r>
              <w:rPr>
                <w:b/>
              </w:rPr>
              <w:t># officers reached with advocacy sessions</w:t>
            </w:r>
          </w:p>
        </w:tc>
        <w:tc>
          <w:tcPr>
            <w:tcW w:w="2977" w:type="dxa"/>
          </w:tcPr>
          <w:p w:rsidR="007D3D8F" w:rsidRPr="001571F6" w:rsidRDefault="00A338EB" w:rsidP="007D3D8F">
            <w:pPr>
              <w:pStyle w:val="ListParagraph"/>
              <w:spacing w:before="120"/>
              <w:ind w:left="0"/>
              <w:contextualSpacing w:val="0"/>
            </w:pPr>
            <w:r>
              <w:t>92%</w:t>
            </w:r>
          </w:p>
        </w:tc>
        <w:tc>
          <w:tcPr>
            <w:tcW w:w="4426" w:type="dxa"/>
          </w:tcPr>
          <w:p w:rsidR="007D3D8F" w:rsidRPr="001571F6" w:rsidRDefault="007D3D8F" w:rsidP="007D3D8F">
            <w:pPr>
              <w:pStyle w:val="ListParagraph"/>
              <w:spacing w:before="120"/>
              <w:ind w:left="0"/>
              <w:contextualSpacing w:val="0"/>
            </w:pPr>
          </w:p>
        </w:tc>
      </w:tr>
      <w:tr w:rsidR="003B5B1A" w:rsidTr="00160DA5">
        <w:tc>
          <w:tcPr>
            <w:tcW w:w="2190" w:type="dxa"/>
          </w:tcPr>
          <w:p w:rsidR="003B5B1A" w:rsidRDefault="003B5B1A" w:rsidP="007D3D8F">
            <w:pPr>
              <w:pStyle w:val="ListParagraph"/>
              <w:spacing w:before="120"/>
              <w:ind w:left="0"/>
              <w:contextualSpacing w:val="0"/>
              <w:rPr>
                <w:b/>
              </w:rPr>
            </w:pPr>
            <w:r>
              <w:rPr>
                <w:b/>
              </w:rPr>
              <w:t># PE meetings</w:t>
            </w:r>
          </w:p>
        </w:tc>
        <w:tc>
          <w:tcPr>
            <w:tcW w:w="2977" w:type="dxa"/>
          </w:tcPr>
          <w:p w:rsidR="003B5B1A" w:rsidRPr="001571F6" w:rsidRDefault="00A338EB" w:rsidP="007D3D8F">
            <w:pPr>
              <w:pStyle w:val="ListParagraph"/>
              <w:spacing w:before="120"/>
              <w:ind w:left="0"/>
              <w:contextualSpacing w:val="0"/>
            </w:pPr>
            <w:r>
              <w:t>100%</w:t>
            </w:r>
          </w:p>
        </w:tc>
        <w:tc>
          <w:tcPr>
            <w:tcW w:w="4426" w:type="dxa"/>
          </w:tcPr>
          <w:p w:rsidR="003B5B1A" w:rsidRPr="001571F6" w:rsidRDefault="003B5B1A" w:rsidP="007D3D8F">
            <w:pPr>
              <w:pStyle w:val="ListParagraph"/>
              <w:spacing w:before="120"/>
              <w:ind w:left="0"/>
              <w:contextualSpacing w:val="0"/>
            </w:pPr>
          </w:p>
        </w:tc>
      </w:tr>
      <w:tr w:rsidR="003B5B1A" w:rsidTr="00160DA5">
        <w:tc>
          <w:tcPr>
            <w:tcW w:w="2190" w:type="dxa"/>
          </w:tcPr>
          <w:p w:rsidR="003B5B1A" w:rsidRDefault="003B5B1A" w:rsidP="007D3D8F">
            <w:pPr>
              <w:pStyle w:val="ListParagraph"/>
              <w:spacing w:before="120"/>
              <w:ind w:left="0"/>
              <w:contextualSpacing w:val="0"/>
              <w:rPr>
                <w:b/>
              </w:rPr>
            </w:pPr>
            <w:r>
              <w:rPr>
                <w:b/>
              </w:rPr>
              <w:t># inmates reached drama</w:t>
            </w:r>
          </w:p>
        </w:tc>
        <w:tc>
          <w:tcPr>
            <w:tcW w:w="2977" w:type="dxa"/>
          </w:tcPr>
          <w:p w:rsidR="003B5B1A" w:rsidRPr="001571F6" w:rsidRDefault="00A338EB" w:rsidP="007D3D8F">
            <w:pPr>
              <w:pStyle w:val="ListParagraph"/>
              <w:spacing w:before="120"/>
              <w:ind w:left="0"/>
              <w:contextualSpacing w:val="0"/>
            </w:pPr>
            <w:r>
              <w:t>62%</w:t>
            </w:r>
          </w:p>
        </w:tc>
        <w:tc>
          <w:tcPr>
            <w:tcW w:w="4426" w:type="dxa"/>
          </w:tcPr>
          <w:p w:rsidR="003B5B1A" w:rsidRPr="001571F6" w:rsidRDefault="003B5B1A" w:rsidP="007D3D8F">
            <w:pPr>
              <w:pStyle w:val="ListParagraph"/>
              <w:spacing w:before="120"/>
              <w:ind w:left="0"/>
              <w:contextualSpacing w:val="0"/>
            </w:pPr>
          </w:p>
        </w:tc>
      </w:tr>
      <w:tr w:rsidR="001D386C" w:rsidTr="00160DA5">
        <w:tc>
          <w:tcPr>
            <w:tcW w:w="2190" w:type="dxa"/>
          </w:tcPr>
          <w:p w:rsidR="001D386C" w:rsidRDefault="001D386C" w:rsidP="007D3D8F">
            <w:pPr>
              <w:pStyle w:val="ListParagraph"/>
              <w:spacing w:before="120"/>
              <w:ind w:left="0"/>
              <w:contextualSpacing w:val="0"/>
              <w:rPr>
                <w:b/>
              </w:rPr>
            </w:pPr>
            <w:r>
              <w:rPr>
                <w:b/>
              </w:rPr>
              <w:t># film shows</w:t>
            </w:r>
          </w:p>
        </w:tc>
        <w:tc>
          <w:tcPr>
            <w:tcW w:w="2977" w:type="dxa"/>
          </w:tcPr>
          <w:p w:rsidR="001D386C" w:rsidRPr="001571F6" w:rsidRDefault="00A338EB" w:rsidP="007D3D8F">
            <w:pPr>
              <w:pStyle w:val="ListParagraph"/>
              <w:spacing w:before="120"/>
              <w:ind w:left="0"/>
              <w:contextualSpacing w:val="0"/>
            </w:pPr>
            <w:r>
              <w:t>100%</w:t>
            </w:r>
          </w:p>
        </w:tc>
        <w:tc>
          <w:tcPr>
            <w:tcW w:w="4426" w:type="dxa"/>
          </w:tcPr>
          <w:p w:rsidR="001D386C" w:rsidRPr="001571F6" w:rsidRDefault="001D386C" w:rsidP="007D3D8F">
            <w:pPr>
              <w:pStyle w:val="ListParagraph"/>
              <w:spacing w:before="120"/>
              <w:ind w:left="0"/>
              <w:contextualSpacing w:val="0"/>
            </w:pPr>
          </w:p>
        </w:tc>
      </w:tr>
      <w:tr w:rsidR="003B5B1A" w:rsidTr="00160DA5">
        <w:tc>
          <w:tcPr>
            <w:tcW w:w="2190" w:type="dxa"/>
          </w:tcPr>
          <w:p w:rsidR="003B5B1A" w:rsidRDefault="003B5B1A" w:rsidP="007D3D8F">
            <w:pPr>
              <w:pStyle w:val="ListParagraph"/>
              <w:spacing w:before="120"/>
              <w:ind w:left="0"/>
              <w:contextualSpacing w:val="0"/>
              <w:rPr>
                <w:b/>
              </w:rPr>
            </w:pPr>
            <w:r>
              <w:rPr>
                <w:b/>
              </w:rPr>
              <w:t># review meetings staff</w:t>
            </w:r>
          </w:p>
        </w:tc>
        <w:tc>
          <w:tcPr>
            <w:tcW w:w="2977" w:type="dxa"/>
          </w:tcPr>
          <w:p w:rsidR="003B5B1A" w:rsidRPr="001571F6" w:rsidRDefault="00A338EB" w:rsidP="007D3D8F">
            <w:pPr>
              <w:pStyle w:val="ListParagraph"/>
              <w:spacing w:before="120"/>
              <w:ind w:left="0"/>
              <w:contextualSpacing w:val="0"/>
            </w:pPr>
            <w:r>
              <w:t>100%</w:t>
            </w:r>
          </w:p>
        </w:tc>
        <w:tc>
          <w:tcPr>
            <w:tcW w:w="4426" w:type="dxa"/>
          </w:tcPr>
          <w:p w:rsidR="003B5B1A" w:rsidRPr="001571F6" w:rsidRDefault="003B5B1A" w:rsidP="007D3D8F">
            <w:pPr>
              <w:pStyle w:val="ListParagraph"/>
              <w:spacing w:before="120"/>
              <w:ind w:left="0"/>
              <w:contextualSpacing w:val="0"/>
            </w:pPr>
          </w:p>
        </w:tc>
      </w:tr>
      <w:tr w:rsidR="003B5B1A" w:rsidTr="00160DA5">
        <w:tc>
          <w:tcPr>
            <w:tcW w:w="2190" w:type="dxa"/>
          </w:tcPr>
          <w:p w:rsidR="003B5B1A" w:rsidRDefault="003B5B1A" w:rsidP="007D3D8F">
            <w:pPr>
              <w:pStyle w:val="ListParagraph"/>
              <w:spacing w:before="120"/>
              <w:ind w:left="0"/>
              <w:contextualSpacing w:val="0"/>
              <w:rPr>
                <w:b/>
              </w:rPr>
            </w:pPr>
            <w:r>
              <w:rPr>
                <w:b/>
              </w:rPr>
              <w:t># drama performances</w:t>
            </w:r>
          </w:p>
        </w:tc>
        <w:tc>
          <w:tcPr>
            <w:tcW w:w="2977" w:type="dxa"/>
          </w:tcPr>
          <w:p w:rsidR="003B5B1A" w:rsidRPr="001571F6" w:rsidRDefault="00A338EB" w:rsidP="007D3D8F">
            <w:pPr>
              <w:pStyle w:val="ListParagraph"/>
              <w:spacing w:before="120"/>
              <w:ind w:left="0"/>
              <w:contextualSpacing w:val="0"/>
            </w:pPr>
            <w:r>
              <w:t>100%</w:t>
            </w:r>
          </w:p>
        </w:tc>
        <w:tc>
          <w:tcPr>
            <w:tcW w:w="4426" w:type="dxa"/>
          </w:tcPr>
          <w:p w:rsidR="003B5B1A" w:rsidRPr="001571F6" w:rsidRDefault="003B5B1A" w:rsidP="007D3D8F">
            <w:pPr>
              <w:pStyle w:val="ListParagraph"/>
              <w:spacing w:before="120"/>
              <w:ind w:left="0"/>
              <w:contextualSpacing w:val="0"/>
            </w:pPr>
          </w:p>
        </w:tc>
      </w:tr>
    </w:tbl>
    <w:p w:rsidR="00DA7D09" w:rsidRDefault="00AA7999" w:rsidP="000861DD">
      <w:pPr>
        <w:pStyle w:val="ListParagraph"/>
        <w:numPr>
          <w:ilvl w:val="0"/>
          <w:numId w:val="5"/>
        </w:numPr>
        <w:spacing w:before="360"/>
        <w:contextualSpacing w:val="0"/>
        <w:jc w:val="both"/>
      </w:pPr>
      <w:r>
        <w:rPr>
          <w:b/>
        </w:rPr>
        <w:t xml:space="preserve">Other observations: </w:t>
      </w:r>
      <w:r w:rsidR="000861DD" w:rsidRPr="000861DD">
        <w:t>None</w:t>
      </w:r>
    </w:p>
    <w:p w:rsidR="00160DA5" w:rsidRPr="00AA7999" w:rsidRDefault="00160DA5" w:rsidP="00160DA5">
      <w:pPr>
        <w:pStyle w:val="ListParagraph"/>
        <w:spacing w:before="360"/>
        <w:ind w:left="360"/>
        <w:contextualSpacing w:val="0"/>
        <w:jc w:val="both"/>
      </w:pPr>
    </w:p>
    <w:p w:rsidR="00043AFF" w:rsidRDefault="00E360DF" w:rsidP="00FC72F1">
      <w:pPr>
        <w:pStyle w:val="ListParagraph"/>
        <w:numPr>
          <w:ilvl w:val="0"/>
          <w:numId w:val="1"/>
        </w:numPr>
        <w:spacing w:before="240"/>
        <w:ind w:left="357" w:hanging="357"/>
        <w:contextualSpacing w:val="0"/>
        <w:jc w:val="both"/>
        <w:rPr>
          <w:b/>
          <w:color w:val="C00000"/>
          <w:sz w:val="24"/>
          <w:szCs w:val="24"/>
        </w:rPr>
      </w:pPr>
      <w:r w:rsidRPr="001F226D">
        <w:rPr>
          <w:b/>
          <w:color w:val="C00000"/>
          <w:sz w:val="24"/>
          <w:szCs w:val="24"/>
        </w:rPr>
        <w:lastRenderedPageBreak/>
        <w:t>ADRA Dash Board</w:t>
      </w:r>
    </w:p>
    <w:p w:rsidR="005B5159" w:rsidRPr="001F226D" w:rsidRDefault="005B5159" w:rsidP="005B5159">
      <w:pPr>
        <w:pStyle w:val="ListParagraph"/>
        <w:spacing w:before="240"/>
        <w:ind w:left="357"/>
        <w:contextualSpacing w:val="0"/>
        <w:jc w:val="both"/>
        <w:rPr>
          <w:b/>
          <w:color w:val="C00000"/>
          <w:sz w:val="24"/>
          <w:szCs w:val="24"/>
        </w:rPr>
      </w:pPr>
      <w:r w:rsidRPr="00BF5E66">
        <w:rPr>
          <w:color w:val="000000" w:themeColor="text1"/>
          <w:sz w:val="24"/>
          <w:szCs w:val="24"/>
        </w:rPr>
        <w:t xml:space="preserve">Because </w:t>
      </w:r>
      <w:r>
        <w:rPr>
          <w:color w:val="000000" w:themeColor="text1"/>
          <w:sz w:val="24"/>
          <w:szCs w:val="24"/>
        </w:rPr>
        <w:t xml:space="preserve">ADRA will not continue as a PR and since performance was usually A-rated, the OC team did not see the necessity of a meeting. </w:t>
      </w:r>
    </w:p>
    <w:p w:rsidR="0004237F" w:rsidRDefault="0004237F" w:rsidP="00FC72F1">
      <w:pPr>
        <w:pStyle w:val="ListParagraph"/>
        <w:numPr>
          <w:ilvl w:val="0"/>
          <w:numId w:val="9"/>
        </w:numPr>
        <w:spacing w:after="120"/>
        <w:contextualSpacing w:val="0"/>
        <w:jc w:val="both"/>
        <w:rPr>
          <w:b/>
        </w:rPr>
      </w:pPr>
      <w:r>
        <w:rPr>
          <w:b/>
        </w:rPr>
        <w:t>Follow up:</w:t>
      </w:r>
      <w:r w:rsidR="005B5159">
        <w:rPr>
          <w:b/>
        </w:rPr>
        <w:t xml:space="preserve"> </w:t>
      </w:r>
      <w:r w:rsidR="005B5159" w:rsidRPr="005B5159">
        <w:t>none</w:t>
      </w:r>
    </w:p>
    <w:p w:rsidR="00E360DF" w:rsidRPr="00962157" w:rsidRDefault="00E360DF" w:rsidP="00FC72F1">
      <w:pPr>
        <w:pStyle w:val="ListParagraph"/>
        <w:numPr>
          <w:ilvl w:val="0"/>
          <w:numId w:val="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5465AB" w:rsidP="007461FA">
            <w:pPr>
              <w:pStyle w:val="ListParagraph"/>
              <w:spacing w:before="120"/>
              <w:ind w:left="0"/>
              <w:contextualSpacing w:val="0"/>
            </w:pPr>
            <w:r>
              <w:t xml:space="preserve">89%, unspent balance </w:t>
            </w:r>
            <w:r w:rsidRPr="005465AB">
              <w:t>374</w:t>
            </w:r>
            <w:r>
              <w:t>,</w:t>
            </w:r>
            <w:r w:rsidRPr="005465AB">
              <w:t>635</w:t>
            </w:r>
          </w:p>
        </w:tc>
        <w:tc>
          <w:tcPr>
            <w:tcW w:w="4710" w:type="dxa"/>
          </w:tcPr>
          <w:p w:rsidR="00F1000E" w:rsidRPr="001571F6" w:rsidRDefault="00F1000E" w:rsidP="007461FA">
            <w:pPr>
              <w:pStyle w:val="ListParagraph"/>
              <w:spacing w:before="120"/>
              <w:ind w:left="0"/>
              <w:contextualSpacing w:val="0"/>
              <w:jc w:val="both"/>
            </w:pPr>
          </w:p>
        </w:tc>
      </w:tr>
    </w:tbl>
    <w:p w:rsidR="00121BA0" w:rsidRPr="00160DA5" w:rsidRDefault="00121BA0" w:rsidP="00160DA5">
      <w:pPr>
        <w:spacing w:after="120"/>
        <w:jc w:val="both"/>
        <w:rPr>
          <w:b/>
        </w:rPr>
      </w:pPr>
    </w:p>
    <w:p w:rsidR="0004237F" w:rsidRPr="0015382A" w:rsidRDefault="0004237F" w:rsidP="00FC72F1">
      <w:pPr>
        <w:pStyle w:val="ListParagraph"/>
        <w:numPr>
          <w:ilvl w:val="0"/>
          <w:numId w:val="9"/>
        </w:numPr>
        <w:spacing w:after="120"/>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402"/>
        <w:gridCol w:w="4426"/>
      </w:tblGrid>
      <w:tr w:rsidR="0004237F" w:rsidTr="00160DA5">
        <w:tc>
          <w:tcPr>
            <w:tcW w:w="1765" w:type="dxa"/>
          </w:tcPr>
          <w:p w:rsidR="0004237F" w:rsidRDefault="0004237F" w:rsidP="007461FA">
            <w:pPr>
              <w:pStyle w:val="ListParagraph"/>
              <w:spacing w:before="120"/>
              <w:ind w:left="0"/>
              <w:contextualSpacing w:val="0"/>
              <w:jc w:val="both"/>
              <w:rPr>
                <w:b/>
              </w:rPr>
            </w:pPr>
            <w:r>
              <w:rPr>
                <w:b/>
              </w:rPr>
              <w:t>Indicator</w:t>
            </w:r>
          </w:p>
        </w:tc>
        <w:tc>
          <w:tcPr>
            <w:tcW w:w="3402" w:type="dxa"/>
          </w:tcPr>
          <w:p w:rsidR="0004237F" w:rsidRDefault="0004237F" w:rsidP="007461FA">
            <w:pPr>
              <w:pStyle w:val="ListParagraph"/>
              <w:spacing w:before="120"/>
              <w:ind w:left="0"/>
              <w:contextualSpacing w:val="0"/>
              <w:jc w:val="both"/>
              <w:rPr>
                <w:b/>
              </w:rPr>
            </w:pPr>
            <w:r>
              <w:rPr>
                <w:b/>
              </w:rPr>
              <w:t xml:space="preserve">Observation  </w:t>
            </w:r>
          </w:p>
        </w:tc>
        <w:tc>
          <w:tcPr>
            <w:tcW w:w="4426" w:type="dxa"/>
          </w:tcPr>
          <w:p w:rsidR="0004237F" w:rsidRDefault="0004237F" w:rsidP="007461FA">
            <w:pPr>
              <w:pStyle w:val="ListParagraph"/>
              <w:spacing w:before="120"/>
              <w:ind w:left="0"/>
              <w:contextualSpacing w:val="0"/>
              <w:jc w:val="both"/>
              <w:rPr>
                <w:b/>
              </w:rPr>
            </w:pPr>
            <w:r>
              <w:rPr>
                <w:b/>
              </w:rPr>
              <w:t xml:space="preserve">Answer / Decision </w:t>
            </w:r>
          </w:p>
        </w:tc>
      </w:tr>
      <w:tr w:rsidR="0004237F" w:rsidTr="00160DA5">
        <w:trPr>
          <w:trHeight w:val="558"/>
        </w:trPr>
        <w:tc>
          <w:tcPr>
            <w:tcW w:w="1765" w:type="dxa"/>
          </w:tcPr>
          <w:p w:rsidR="0004237F" w:rsidRDefault="0004237F" w:rsidP="007461FA">
            <w:pPr>
              <w:pStyle w:val="ListParagraph"/>
              <w:spacing w:before="120"/>
              <w:ind w:left="0"/>
              <w:contextualSpacing w:val="0"/>
              <w:rPr>
                <w:b/>
              </w:rPr>
            </w:pPr>
            <w:r>
              <w:rPr>
                <w:b/>
              </w:rPr>
              <w:t>Availability of commodities</w:t>
            </w:r>
          </w:p>
        </w:tc>
        <w:tc>
          <w:tcPr>
            <w:tcW w:w="3402" w:type="dxa"/>
          </w:tcPr>
          <w:p w:rsidR="0004237F" w:rsidRPr="001571F6" w:rsidRDefault="005465AB" w:rsidP="007461FA">
            <w:pPr>
              <w:pStyle w:val="ListParagraph"/>
              <w:spacing w:before="120"/>
              <w:ind w:left="34"/>
            </w:pPr>
            <w:r>
              <w:t xml:space="preserve">0.1 </w:t>
            </w:r>
            <w:proofErr w:type="spellStart"/>
            <w:r>
              <w:t>MoS</w:t>
            </w:r>
            <w:proofErr w:type="spellEnd"/>
            <w:r>
              <w:t xml:space="preserve"> male condoms, 1.9 </w:t>
            </w:r>
            <w:proofErr w:type="spellStart"/>
            <w:r>
              <w:t>MoS</w:t>
            </w:r>
            <w:proofErr w:type="spellEnd"/>
            <w:r>
              <w:t xml:space="preserve"> female condoms, 3.9 </w:t>
            </w:r>
            <w:proofErr w:type="spellStart"/>
            <w:r>
              <w:t>MoS</w:t>
            </w:r>
            <w:proofErr w:type="spellEnd"/>
            <w:r>
              <w:t xml:space="preserve"> test kits</w:t>
            </w:r>
          </w:p>
        </w:tc>
        <w:tc>
          <w:tcPr>
            <w:tcW w:w="4426" w:type="dxa"/>
          </w:tcPr>
          <w:p w:rsidR="0004237F" w:rsidRPr="001571F6" w:rsidRDefault="0004237F" w:rsidP="007461FA">
            <w:pPr>
              <w:pStyle w:val="ListParagraph"/>
              <w:spacing w:before="120"/>
              <w:ind w:left="0"/>
              <w:contextualSpacing w:val="0"/>
            </w:pPr>
          </w:p>
        </w:tc>
      </w:tr>
    </w:tbl>
    <w:p w:rsidR="00E360DF" w:rsidRPr="00463ABD" w:rsidRDefault="00E360DF" w:rsidP="00FC72F1">
      <w:pPr>
        <w:pStyle w:val="ListParagraph"/>
        <w:numPr>
          <w:ilvl w:val="0"/>
          <w:numId w:val="9"/>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2190"/>
        <w:gridCol w:w="2693"/>
        <w:gridCol w:w="4710"/>
      </w:tblGrid>
      <w:tr w:rsidR="00641878" w:rsidTr="00160DA5">
        <w:tc>
          <w:tcPr>
            <w:tcW w:w="2190" w:type="dxa"/>
          </w:tcPr>
          <w:p w:rsidR="00641878" w:rsidRDefault="00641878" w:rsidP="006F645C">
            <w:pPr>
              <w:pStyle w:val="ListParagraph"/>
              <w:spacing w:before="120"/>
              <w:ind w:left="0"/>
              <w:contextualSpacing w:val="0"/>
              <w:jc w:val="both"/>
              <w:rPr>
                <w:b/>
              </w:rPr>
            </w:pPr>
            <w:r>
              <w:rPr>
                <w:b/>
              </w:rPr>
              <w:t>Indicator</w:t>
            </w:r>
          </w:p>
        </w:tc>
        <w:tc>
          <w:tcPr>
            <w:tcW w:w="2693"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641878" w:rsidTr="00160DA5">
        <w:trPr>
          <w:trHeight w:val="558"/>
        </w:trPr>
        <w:tc>
          <w:tcPr>
            <w:tcW w:w="2190" w:type="dxa"/>
          </w:tcPr>
          <w:p w:rsidR="00641878" w:rsidRDefault="00641878" w:rsidP="006F645C">
            <w:pPr>
              <w:pStyle w:val="ListParagraph"/>
              <w:spacing w:before="120"/>
              <w:ind w:left="0"/>
              <w:contextualSpacing w:val="0"/>
              <w:rPr>
                <w:b/>
              </w:rPr>
            </w:pPr>
            <w:r>
              <w:rPr>
                <w:b/>
              </w:rPr>
              <w:t>HIV prevention</w:t>
            </w:r>
          </w:p>
        </w:tc>
        <w:tc>
          <w:tcPr>
            <w:tcW w:w="2693" w:type="dxa"/>
          </w:tcPr>
          <w:p w:rsidR="00641878" w:rsidRPr="001571F6" w:rsidRDefault="005465AB" w:rsidP="00D95407">
            <w:pPr>
              <w:pStyle w:val="ListParagraph"/>
              <w:spacing w:before="120"/>
              <w:ind w:left="34"/>
            </w:pPr>
            <w:r>
              <w:t>77%</w:t>
            </w:r>
            <w:r w:rsidR="00CB14FD">
              <w:t xml:space="preserve"> but 103% cum achievement in 2017</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HTS</w:t>
            </w:r>
          </w:p>
        </w:tc>
        <w:tc>
          <w:tcPr>
            <w:tcW w:w="2693" w:type="dxa"/>
          </w:tcPr>
          <w:p w:rsidR="00641878" w:rsidRPr="001571F6" w:rsidRDefault="005465AB" w:rsidP="006F645C">
            <w:pPr>
              <w:pStyle w:val="ListParagraph"/>
              <w:spacing w:before="120"/>
              <w:ind w:left="0"/>
              <w:contextualSpacing w:val="0"/>
            </w:pPr>
            <w:r>
              <w:t>111%</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 xml:space="preserve">Condom distribution </w:t>
            </w:r>
          </w:p>
        </w:tc>
        <w:tc>
          <w:tcPr>
            <w:tcW w:w="2693" w:type="dxa"/>
          </w:tcPr>
          <w:p w:rsidR="00D95407" w:rsidRPr="001571F6" w:rsidRDefault="005465AB" w:rsidP="006F645C">
            <w:pPr>
              <w:pStyle w:val="ListParagraph"/>
              <w:spacing w:before="120"/>
              <w:ind w:left="0"/>
              <w:contextualSpacing w:val="0"/>
            </w:pPr>
            <w:r>
              <w:t>143%</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Stigma health workers</w:t>
            </w:r>
          </w:p>
        </w:tc>
        <w:tc>
          <w:tcPr>
            <w:tcW w:w="2693" w:type="dxa"/>
          </w:tcPr>
          <w:p w:rsidR="00641878" w:rsidRPr="001571F6" w:rsidRDefault="005465AB" w:rsidP="006F645C">
            <w:pPr>
              <w:pStyle w:val="ListParagraph"/>
              <w:spacing w:before="120"/>
              <w:ind w:left="0"/>
              <w:contextualSpacing w:val="0"/>
            </w:pPr>
            <w:r>
              <w:t>129%</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Stigma FSW</w:t>
            </w:r>
          </w:p>
        </w:tc>
        <w:tc>
          <w:tcPr>
            <w:tcW w:w="2693" w:type="dxa"/>
          </w:tcPr>
          <w:p w:rsidR="00641878" w:rsidRPr="001571F6" w:rsidRDefault="005465AB" w:rsidP="006F645C">
            <w:pPr>
              <w:pStyle w:val="ListParagraph"/>
              <w:spacing w:before="120"/>
              <w:ind w:left="0"/>
              <w:contextualSpacing w:val="0"/>
            </w:pPr>
            <w:r>
              <w:t>117%</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Referral by PEs</w:t>
            </w:r>
          </w:p>
        </w:tc>
        <w:tc>
          <w:tcPr>
            <w:tcW w:w="2693" w:type="dxa"/>
          </w:tcPr>
          <w:p w:rsidR="00641878" w:rsidRPr="001571F6" w:rsidRDefault="005465AB" w:rsidP="006F645C">
            <w:pPr>
              <w:pStyle w:val="ListParagraph"/>
              <w:spacing w:before="120"/>
              <w:ind w:left="0"/>
              <w:contextualSpacing w:val="0"/>
            </w:pPr>
            <w:r>
              <w:t>154%</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 xml:space="preserve">PE reporting </w:t>
            </w:r>
          </w:p>
        </w:tc>
        <w:tc>
          <w:tcPr>
            <w:tcW w:w="2693" w:type="dxa"/>
          </w:tcPr>
          <w:p w:rsidR="00641878" w:rsidRPr="001571F6" w:rsidRDefault="005465AB" w:rsidP="006F645C">
            <w:pPr>
              <w:pStyle w:val="ListParagraph"/>
              <w:spacing w:before="120"/>
              <w:ind w:left="0"/>
              <w:contextualSpacing w:val="0"/>
            </w:pPr>
            <w:r>
              <w:t>95%</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 referred KPs receiving services at DICs</w:t>
            </w:r>
          </w:p>
        </w:tc>
        <w:tc>
          <w:tcPr>
            <w:tcW w:w="2693" w:type="dxa"/>
          </w:tcPr>
          <w:p w:rsidR="00641878" w:rsidRPr="001571F6" w:rsidRDefault="005465AB" w:rsidP="006F645C">
            <w:pPr>
              <w:pStyle w:val="ListParagraph"/>
              <w:spacing w:before="120"/>
              <w:ind w:left="0"/>
              <w:contextualSpacing w:val="0"/>
            </w:pPr>
            <w:r>
              <w:t>85%</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Monitoring sessions</w:t>
            </w:r>
          </w:p>
        </w:tc>
        <w:tc>
          <w:tcPr>
            <w:tcW w:w="2693" w:type="dxa"/>
          </w:tcPr>
          <w:p w:rsidR="00641878" w:rsidRPr="001571F6" w:rsidRDefault="005465AB" w:rsidP="006F645C">
            <w:pPr>
              <w:pStyle w:val="ListParagraph"/>
              <w:spacing w:before="120"/>
              <w:ind w:left="0"/>
              <w:contextualSpacing w:val="0"/>
            </w:pPr>
            <w:r>
              <w:t>100%</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Trust &amp; Love sessions</w:t>
            </w:r>
          </w:p>
        </w:tc>
        <w:tc>
          <w:tcPr>
            <w:tcW w:w="2693" w:type="dxa"/>
          </w:tcPr>
          <w:p w:rsidR="00641878" w:rsidRPr="001571F6" w:rsidRDefault="005465AB" w:rsidP="006F645C">
            <w:pPr>
              <w:pStyle w:val="ListParagraph"/>
              <w:spacing w:before="120"/>
              <w:ind w:left="0"/>
              <w:contextualSpacing w:val="0"/>
            </w:pPr>
            <w:r>
              <w:t>113%</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Condom activation sessions</w:t>
            </w:r>
          </w:p>
        </w:tc>
        <w:tc>
          <w:tcPr>
            <w:tcW w:w="2693" w:type="dxa"/>
          </w:tcPr>
          <w:p w:rsidR="00641878" w:rsidRPr="001571F6" w:rsidRDefault="005465AB" w:rsidP="006F645C">
            <w:pPr>
              <w:pStyle w:val="ListParagraph"/>
              <w:spacing w:before="120"/>
              <w:ind w:left="0"/>
              <w:contextualSpacing w:val="0"/>
            </w:pPr>
            <w:r>
              <w:t>100%</w:t>
            </w:r>
          </w:p>
        </w:tc>
        <w:tc>
          <w:tcPr>
            <w:tcW w:w="4710" w:type="dxa"/>
          </w:tcPr>
          <w:p w:rsidR="00641878" w:rsidRPr="001571F6" w:rsidRDefault="00641878" w:rsidP="006F645C">
            <w:pPr>
              <w:pStyle w:val="ListParagraph"/>
              <w:spacing w:before="120"/>
              <w:ind w:left="0"/>
              <w:contextualSpacing w:val="0"/>
            </w:pPr>
          </w:p>
        </w:tc>
      </w:tr>
      <w:tr w:rsidR="00641878" w:rsidTr="00160DA5">
        <w:tc>
          <w:tcPr>
            <w:tcW w:w="2190" w:type="dxa"/>
          </w:tcPr>
          <w:p w:rsidR="00641878" w:rsidRDefault="00641878" w:rsidP="006F645C">
            <w:pPr>
              <w:pStyle w:val="ListParagraph"/>
              <w:spacing w:before="120"/>
              <w:ind w:left="0"/>
              <w:contextualSpacing w:val="0"/>
              <w:rPr>
                <w:b/>
              </w:rPr>
            </w:pPr>
            <w:r>
              <w:rPr>
                <w:b/>
              </w:rPr>
              <w:t># DIC</w:t>
            </w:r>
          </w:p>
        </w:tc>
        <w:tc>
          <w:tcPr>
            <w:tcW w:w="2693" w:type="dxa"/>
          </w:tcPr>
          <w:p w:rsidR="00641878" w:rsidRPr="001571F6" w:rsidRDefault="005465AB" w:rsidP="006F645C">
            <w:pPr>
              <w:pStyle w:val="ListParagraph"/>
              <w:spacing w:before="120"/>
              <w:ind w:left="0"/>
              <w:contextualSpacing w:val="0"/>
            </w:pPr>
            <w:r>
              <w:t>100%</w:t>
            </w:r>
          </w:p>
        </w:tc>
        <w:tc>
          <w:tcPr>
            <w:tcW w:w="4710" w:type="dxa"/>
          </w:tcPr>
          <w:p w:rsidR="00641878" w:rsidRPr="001571F6" w:rsidRDefault="00641878" w:rsidP="006F645C">
            <w:pPr>
              <w:pStyle w:val="ListParagraph"/>
              <w:spacing w:before="120"/>
              <w:ind w:left="0"/>
              <w:contextualSpacing w:val="0"/>
            </w:pPr>
          </w:p>
        </w:tc>
      </w:tr>
    </w:tbl>
    <w:p w:rsidR="00A96449" w:rsidRPr="00043AFF" w:rsidRDefault="00A96449" w:rsidP="00FC72F1">
      <w:pPr>
        <w:pStyle w:val="ListParagraph"/>
        <w:numPr>
          <w:ilvl w:val="0"/>
          <w:numId w:val="9"/>
        </w:numPr>
        <w:spacing w:before="360" w:after="0"/>
        <w:contextualSpacing w:val="0"/>
        <w:jc w:val="both"/>
      </w:pPr>
      <w:r>
        <w:rPr>
          <w:b/>
        </w:rPr>
        <w:t>Other observations:</w:t>
      </w:r>
      <w:r w:rsidR="00412F3B">
        <w:rPr>
          <w:b/>
        </w:rPr>
        <w:t xml:space="preserve"> </w:t>
      </w:r>
      <w:r w:rsidR="005465AB" w:rsidRPr="005465AB">
        <w:t>None</w:t>
      </w:r>
      <w:r w:rsidR="00F3406A">
        <w:t xml:space="preserve"> </w:t>
      </w:r>
    </w:p>
    <w:p w:rsidR="00F1000E" w:rsidRDefault="00F1000E"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lastRenderedPageBreak/>
        <w:t>GAC Dash Board</w:t>
      </w:r>
    </w:p>
    <w:p w:rsidR="00C44CA3" w:rsidRPr="00511530" w:rsidRDefault="00511530" w:rsidP="00511530">
      <w:pPr>
        <w:spacing w:before="240"/>
        <w:jc w:val="both"/>
        <w:rPr>
          <w:b/>
          <w:color w:val="C00000"/>
          <w:sz w:val="24"/>
          <w:szCs w:val="24"/>
        </w:rPr>
      </w:pPr>
      <w:r w:rsidRPr="00511530">
        <w:rPr>
          <w:color w:val="000000" w:themeColor="text1"/>
          <w:sz w:val="24"/>
          <w:szCs w:val="24"/>
        </w:rPr>
        <w:t xml:space="preserve">Because </w:t>
      </w:r>
      <w:r>
        <w:rPr>
          <w:color w:val="000000" w:themeColor="text1"/>
          <w:sz w:val="24"/>
          <w:szCs w:val="24"/>
        </w:rPr>
        <w:t>GAC</w:t>
      </w:r>
      <w:r w:rsidRPr="00511530">
        <w:rPr>
          <w:color w:val="000000" w:themeColor="text1"/>
          <w:sz w:val="24"/>
          <w:szCs w:val="24"/>
        </w:rPr>
        <w:t xml:space="preserve"> will not continue as a PR and </w:t>
      </w:r>
      <w:r>
        <w:rPr>
          <w:color w:val="000000" w:themeColor="text1"/>
          <w:sz w:val="24"/>
          <w:szCs w:val="24"/>
        </w:rPr>
        <w:t>because of the limited time available for the OC meeting</w:t>
      </w:r>
      <w:r w:rsidRPr="00511530">
        <w:rPr>
          <w:color w:val="000000" w:themeColor="text1"/>
          <w:sz w:val="24"/>
          <w:szCs w:val="24"/>
        </w:rPr>
        <w:t xml:space="preserve">, </w:t>
      </w:r>
      <w:r>
        <w:rPr>
          <w:color w:val="000000" w:themeColor="text1"/>
          <w:sz w:val="24"/>
          <w:szCs w:val="24"/>
        </w:rPr>
        <w:t>GAC was not invited to the</w:t>
      </w:r>
      <w:r w:rsidRPr="00511530">
        <w:rPr>
          <w:color w:val="000000" w:themeColor="text1"/>
          <w:sz w:val="24"/>
          <w:szCs w:val="24"/>
        </w:rPr>
        <w:t xml:space="preserve"> meeting. </w:t>
      </w:r>
    </w:p>
    <w:p w:rsidR="00F1000E" w:rsidRPr="00962157" w:rsidRDefault="00F1000E" w:rsidP="00FC72F1">
      <w:pPr>
        <w:pStyle w:val="ListParagraph"/>
        <w:numPr>
          <w:ilvl w:val="0"/>
          <w:numId w:val="4"/>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DA7D09" w:rsidP="007461FA">
            <w:pPr>
              <w:pStyle w:val="ListParagraph"/>
              <w:spacing w:before="120"/>
              <w:ind w:left="0"/>
              <w:contextualSpacing w:val="0"/>
            </w:pPr>
            <w:r>
              <w:t>86%</w:t>
            </w:r>
          </w:p>
        </w:tc>
        <w:tc>
          <w:tcPr>
            <w:tcW w:w="4710" w:type="dxa"/>
          </w:tcPr>
          <w:p w:rsidR="00F1000E" w:rsidRPr="001571F6" w:rsidRDefault="00F1000E" w:rsidP="00575907">
            <w:pPr>
              <w:pStyle w:val="ListParagraph"/>
              <w:spacing w:before="120"/>
              <w:ind w:left="0"/>
              <w:contextualSpacing w:val="0"/>
              <w:jc w:val="both"/>
            </w:pP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SR</w:t>
            </w:r>
          </w:p>
        </w:tc>
        <w:tc>
          <w:tcPr>
            <w:tcW w:w="2977" w:type="dxa"/>
          </w:tcPr>
          <w:p w:rsidR="00F1000E" w:rsidRDefault="00DA7D09" w:rsidP="0017760A">
            <w:pPr>
              <w:pStyle w:val="ListParagraph"/>
              <w:spacing w:before="120"/>
              <w:ind w:left="0"/>
              <w:contextualSpacing w:val="0"/>
            </w:pPr>
            <w:r>
              <w:t>9</w:t>
            </w:r>
            <w:r w:rsidR="0073711B">
              <w:t>1</w:t>
            </w:r>
            <w:r>
              <w:t>% WAPCAS FSWs,</w:t>
            </w:r>
          </w:p>
          <w:p w:rsidR="00DA7D09" w:rsidRDefault="00DA7D09" w:rsidP="0073711B">
            <w:pPr>
              <w:pStyle w:val="ListParagraph"/>
              <w:ind w:left="0"/>
              <w:contextualSpacing w:val="0"/>
            </w:pPr>
            <w:r>
              <w:t>5</w:t>
            </w:r>
            <w:r w:rsidR="0073711B">
              <w:t>5</w:t>
            </w:r>
            <w:r>
              <w:t>% WAPCAS MSM</w:t>
            </w:r>
          </w:p>
          <w:p w:rsidR="00DA7D09" w:rsidRPr="001571F6" w:rsidRDefault="0073711B" w:rsidP="0073711B">
            <w:pPr>
              <w:pStyle w:val="ListParagraph"/>
              <w:ind w:left="0"/>
              <w:contextualSpacing w:val="0"/>
            </w:pPr>
            <w:r>
              <w:t>55</w:t>
            </w:r>
            <w:r w:rsidR="00DA7D09">
              <w:t>% WAAF</w:t>
            </w:r>
          </w:p>
        </w:tc>
        <w:tc>
          <w:tcPr>
            <w:tcW w:w="4710" w:type="dxa"/>
          </w:tcPr>
          <w:p w:rsidR="00F1000E" w:rsidRPr="001571F6" w:rsidRDefault="00F1000E" w:rsidP="007461FA">
            <w:pPr>
              <w:pStyle w:val="ListParagraph"/>
              <w:spacing w:before="120"/>
              <w:ind w:left="0"/>
              <w:contextualSpacing w:val="0"/>
              <w:jc w:val="both"/>
            </w:pPr>
          </w:p>
        </w:tc>
      </w:tr>
    </w:tbl>
    <w:p w:rsidR="00F1000E" w:rsidRDefault="00F1000E" w:rsidP="00F1000E">
      <w:pPr>
        <w:rPr>
          <w:b/>
        </w:rPr>
      </w:pPr>
    </w:p>
    <w:p w:rsidR="00F1000E" w:rsidRPr="00160DA5" w:rsidRDefault="00F1000E" w:rsidP="00FC72F1">
      <w:pPr>
        <w:pStyle w:val="ListParagraph"/>
        <w:numPr>
          <w:ilvl w:val="0"/>
          <w:numId w:val="4"/>
        </w:numPr>
        <w:spacing w:before="360" w:after="120"/>
        <w:ind w:left="357" w:hanging="357"/>
        <w:contextualSpacing w:val="0"/>
        <w:jc w:val="both"/>
      </w:pPr>
      <w:r w:rsidRPr="007D6E1C">
        <w:rPr>
          <w:b/>
        </w:rPr>
        <w:t>Management Indicators:</w:t>
      </w:r>
      <w:r w:rsidR="00160DA5">
        <w:rPr>
          <w:b/>
        </w:rPr>
        <w:t xml:space="preserve"> </w:t>
      </w:r>
      <w:r w:rsidR="00160DA5" w:rsidRPr="00160DA5">
        <w:t>no observations</w:t>
      </w:r>
    </w:p>
    <w:p w:rsidR="00F1000E" w:rsidRDefault="00F1000E" w:rsidP="00FC72F1">
      <w:pPr>
        <w:pStyle w:val="ListParagraph"/>
        <w:numPr>
          <w:ilvl w:val="0"/>
          <w:numId w:val="4"/>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906"/>
        <w:gridCol w:w="2977"/>
        <w:gridCol w:w="4710"/>
      </w:tblGrid>
      <w:tr w:rsidR="00987D8E" w:rsidTr="00160DA5">
        <w:tc>
          <w:tcPr>
            <w:tcW w:w="1906" w:type="dxa"/>
          </w:tcPr>
          <w:p w:rsidR="00987D8E" w:rsidRDefault="00987D8E" w:rsidP="00987D8E">
            <w:pPr>
              <w:pStyle w:val="ListParagraph"/>
              <w:spacing w:before="120"/>
              <w:ind w:left="0"/>
              <w:contextualSpacing w:val="0"/>
              <w:jc w:val="both"/>
              <w:rPr>
                <w:b/>
              </w:rPr>
            </w:pPr>
            <w:r>
              <w:rPr>
                <w:b/>
              </w:rPr>
              <w:t>Indicator</w:t>
            </w:r>
          </w:p>
        </w:tc>
        <w:tc>
          <w:tcPr>
            <w:tcW w:w="2977" w:type="dxa"/>
          </w:tcPr>
          <w:p w:rsidR="00987D8E" w:rsidRDefault="00987D8E" w:rsidP="00987D8E">
            <w:pPr>
              <w:pStyle w:val="ListParagraph"/>
              <w:spacing w:before="120"/>
              <w:ind w:left="0"/>
              <w:contextualSpacing w:val="0"/>
              <w:jc w:val="both"/>
              <w:rPr>
                <w:b/>
              </w:rPr>
            </w:pPr>
            <w:r>
              <w:rPr>
                <w:b/>
              </w:rPr>
              <w:t xml:space="preserve">Observation  </w:t>
            </w:r>
          </w:p>
        </w:tc>
        <w:tc>
          <w:tcPr>
            <w:tcW w:w="4710" w:type="dxa"/>
          </w:tcPr>
          <w:p w:rsidR="00987D8E" w:rsidRDefault="00987D8E" w:rsidP="00987D8E">
            <w:pPr>
              <w:pStyle w:val="ListParagraph"/>
              <w:spacing w:before="120"/>
              <w:ind w:left="0"/>
              <w:contextualSpacing w:val="0"/>
              <w:jc w:val="both"/>
              <w:rPr>
                <w:b/>
              </w:rPr>
            </w:pPr>
            <w:r>
              <w:rPr>
                <w:b/>
              </w:rPr>
              <w:t xml:space="preserve">Answer / Decision </w:t>
            </w:r>
          </w:p>
        </w:tc>
      </w:tr>
      <w:tr w:rsidR="00987D8E" w:rsidTr="00160DA5">
        <w:trPr>
          <w:trHeight w:val="558"/>
        </w:trPr>
        <w:tc>
          <w:tcPr>
            <w:tcW w:w="1906" w:type="dxa"/>
          </w:tcPr>
          <w:p w:rsidR="00987D8E" w:rsidRDefault="00987D8E" w:rsidP="00987D8E">
            <w:pPr>
              <w:pStyle w:val="ListParagraph"/>
              <w:spacing w:before="120"/>
              <w:ind w:left="0"/>
              <w:contextualSpacing w:val="0"/>
              <w:rPr>
                <w:b/>
              </w:rPr>
            </w:pPr>
            <w:r>
              <w:rPr>
                <w:b/>
              </w:rPr>
              <w:t>FSW HIV prevention</w:t>
            </w:r>
          </w:p>
        </w:tc>
        <w:tc>
          <w:tcPr>
            <w:tcW w:w="2977" w:type="dxa"/>
          </w:tcPr>
          <w:p w:rsidR="00987D8E" w:rsidRPr="001571F6" w:rsidRDefault="0073711B" w:rsidP="008B6A0A">
            <w:pPr>
              <w:pStyle w:val="ListParagraph"/>
              <w:spacing w:before="120"/>
              <w:ind w:left="34"/>
            </w:pPr>
            <w:r>
              <w:t xml:space="preserve">19% but </w:t>
            </w:r>
            <w:r w:rsidR="008B6A0A">
              <w:t>average</w:t>
            </w:r>
            <w:r>
              <w:t xml:space="preserve"> 2017 = 105% </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Pr>
                <w:b/>
              </w:rPr>
              <w:t>FSW HTS</w:t>
            </w:r>
          </w:p>
        </w:tc>
        <w:tc>
          <w:tcPr>
            <w:tcW w:w="2977" w:type="dxa"/>
          </w:tcPr>
          <w:p w:rsidR="00987D8E" w:rsidRPr="001571F6" w:rsidRDefault="0073711B" w:rsidP="008B6A0A">
            <w:pPr>
              <w:pStyle w:val="ListParagraph"/>
              <w:spacing w:before="120"/>
              <w:ind w:left="0"/>
              <w:contextualSpacing w:val="0"/>
            </w:pPr>
            <w:r>
              <w:t xml:space="preserve">77% but </w:t>
            </w:r>
            <w:r w:rsidR="008B6A0A">
              <w:t>average</w:t>
            </w:r>
            <w:r>
              <w:t xml:space="preserve"> 2017 = 123%</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Pr>
                <w:b/>
              </w:rPr>
              <w:t xml:space="preserve">MSM HIV prevention </w:t>
            </w:r>
          </w:p>
        </w:tc>
        <w:tc>
          <w:tcPr>
            <w:tcW w:w="2977" w:type="dxa"/>
          </w:tcPr>
          <w:p w:rsidR="00987D8E" w:rsidRPr="001571F6" w:rsidRDefault="0073711B" w:rsidP="008B6A0A">
            <w:pPr>
              <w:pStyle w:val="ListParagraph"/>
              <w:spacing w:before="120"/>
              <w:ind w:left="0"/>
              <w:contextualSpacing w:val="0"/>
            </w:pPr>
            <w:r>
              <w:t xml:space="preserve">69% but </w:t>
            </w:r>
            <w:r w:rsidR="008B6A0A">
              <w:t>average</w:t>
            </w:r>
            <w:r>
              <w:t xml:space="preserve"> 2017 = 106%</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Pr>
                <w:b/>
              </w:rPr>
              <w:t>MSM HTS</w:t>
            </w:r>
          </w:p>
        </w:tc>
        <w:tc>
          <w:tcPr>
            <w:tcW w:w="2977" w:type="dxa"/>
          </w:tcPr>
          <w:p w:rsidR="00987D8E" w:rsidRPr="001571F6" w:rsidRDefault="0073711B" w:rsidP="008B6A0A">
            <w:pPr>
              <w:pStyle w:val="ListParagraph"/>
              <w:spacing w:before="120"/>
              <w:ind w:left="0"/>
              <w:contextualSpacing w:val="0"/>
            </w:pPr>
            <w:r>
              <w:t xml:space="preserve">162, </w:t>
            </w:r>
            <w:r w:rsidR="008B6A0A">
              <w:t>average</w:t>
            </w:r>
            <w:r>
              <w:t xml:space="preserve"> 2017 = 115%</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sidRPr="00FB5860">
              <w:rPr>
                <w:b/>
              </w:rPr>
              <w:t xml:space="preserve">MoH </w:t>
            </w:r>
          </w:p>
        </w:tc>
        <w:tc>
          <w:tcPr>
            <w:tcW w:w="2977" w:type="dxa"/>
          </w:tcPr>
          <w:p w:rsidR="00987D8E" w:rsidRPr="001571F6" w:rsidRDefault="0073711B" w:rsidP="0073711B">
            <w:pPr>
              <w:pStyle w:val="ListParagraph"/>
              <w:spacing w:before="120"/>
              <w:ind w:left="0"/>
              <w:contextualSpacing w:val="0"/>
            </w:pPr>
            <w:r>
              <w:t>116%</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sidRPr="00511756">
              <w:rPr>
                <w:rFonts w:ascii="Arial" w:hAnsi="Arial" w:cs="Arial"/>
                <w:b/>
                <w:sz w:val="20"/>
                <w:szCs w:val="20"/>
              </w:rPr>
              <w:t>Reg</w:t>
            </w:r>
            <w:r>
              <w:rPr>
                <w:rFonts w:ascii="Arial" w:hAnsi="Arial" w:cs="Arial"/>
                <w:b/>
                <w:sz w:val="20"/>
                <w:szCs w:val="20"/>
              </w:rPr>
              <w:t xml:space="preserve">. </w:t>
            </w:r>
            <w:r w:rsidRPr="00511756">
              <w:rPr>
                <w:rFonts w:ascii="Arial" w:hAnsi="Arial" w:cs="Arial"/>
                <w:b/>
                <w:sz w:val="20"/>
                <w:szCs w:val="20"/>
              </w:rPr>
              <w:t xml:space="preserve">NAP+ offices </w:t>
            </w:r>
          </w:p>
        </w:tc>
        <w:tc>
          <w:tcPr>
            <w:tcW w:w="2977" w:type="dxa"/>
          </w:tcPr>
          <w:p w:rsidR="00987D8E" w:rsidRPr="001571F6" w:rsidRDefault="0073711B" w:rsidP="00987D8E">
            <w:pPr>
              <w:pStyle w:val="ListParagraph"/>
              <w:spacing w:before="120"/>
              <w:ind w:left="0"/>
              <w:contextualSpacing w:val="0"/>
            </w:pPr>
            <w:r>
              <w:t>100%</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sidRPr="00511756">
              <w:rPr>
                <w:rFonts w:ascii="Arial" w:hAnsi="Arial" w:cs="Arial"/>
                <w:b/>
                <w:sz w:val="20"/>
                <w:szCs w:val="20"/>
              </w:rPr>
              <w:t>SAMC</w:t>
            </w:r>
          </w:p>
        </w:tc>
        <w:tc>
          <w:tcPr>
            <w:tcW w:w="2977" w:type="dxa"/>
          </w:tcPr>
          <w:p w:rsidR="00987D8E" w:rsidRPr="001571F6" w:rsidRDefault="0073711B" w:rsidP="00987D8E">
            <w:pPr>
              <w:pStyle w:val="ListParagraph"/>
              <w:spacing w:before="120"/>
              <w:ind w:left="0"/>
              <w:contextualSpacing w:val="0"/>
            </w:pPr>
            <w:r>
              <w:t>100%</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Pr>
                <w:rFonts w:ascii="Arial" w:hAnsi="Arial" w:cs="Arial"/>
                <w:b/>
                <w:sz w:val="20"/>
                <w:szCs w:val="20"/>
              </w:rPr>
              <w:t xml:space="preserve">FSW Condoms </w:t>
            </w:r>
          </w:p>
        </w:tc>
        <w:tc>
          <w:tcPr>
            <w:tcW w:w="2977" w:type="dxa"/>
          </w:tcPr>
          <w:p w:rsidR="00987D8E" w:rsidRPr="001571F6" w:rsidRDefault="0073711B" w:rsidP="008B6A0A">
            <w:pPr>
              <w:pStyle w:val="ListParagraph"/>
              <w:spacing w:before="120"/>
              <w:ind w:left="0"/>
              <w:contextualSpacing w:val="0"/>
            </w:pPr>
            <w:r>
              <w:t>28%</w:t>
            </w:r>
            <w:r w:rsidR="0066211A">
              <w:t>,</w:t>
            </w:r>
            <w:r w:rsidR="008B6A0A">
              <w:t>average</w:t>
            </w:r>
            <w:r w:rsidR="0066211A">
              <w:t xml:space="preserve"> 2017 = 105% (shortage in Q4)</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Pr>
                <w:rFonts w:ascii="Arial" w:hAnsi="Arial" w:cs="Arial"/>
                <w:b/>
                <w:sz w:val="20"/>
                <w:szCs w:val="20"/>
              </w:rPr>
              <w:t xml:space="preserve">MSM Condoms </w:t>
            </w:r>
          </w:p>
        </w:tc>
        <w:tc>
          <w:tcPr>
            <w:tcW w:w="2977" w:type="dxa"/>
          </w:tcPr>
          <w:p w:rsidR="00987D8E" w:rsidRPr="001571F6" w:rsidRDefault="0073711B" w:rsidP="008B6A0A">
            <w:pPr>
              <w:pStyle w:val="ListParagraph"/>
              <w:spacing w:before="120"/>
              <w:ind w:left="0"/>
              <w:contextualSpacing w:val="0"/>
            </w:pPr>
            <w:r>
              <w:t>90%</w:t>
            </w:r>
            <w:r w:rsidR="0066211A">
              <w:t xml:space="preserve">, </w:t>
            </w:r>
            <w:r w:rsidR="008B6A0A">
              <w:t>average</w:t>
            </w:r>
            <w:r w:rsidR="0066211A">
              <w:t xml:space="preserve"> 2017 = 105%</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sidRPr="00511756">
              <w:rPr>
                <w:rFonts w:ascii="Arial" w:hAnsi="Arial" w:cs="Arial"/>
                <w:b/>
                <w:sz w:val="20"/>
                <w:szCs w:val="20"/>
              </w:rPr>
              <w:t>FSW on NHIS</w:t>
            </w:r>
          </w:p>
        </w:tc>
        <w:tc>
          <w:tcPr>
            <w:tcW w:w="2977" w:type="dxa"/>
          </w:tcPr>
          <w:p w:rsidR="00987D8E" w:rsidRPr="001571F6" w:rsidRDefault="0073711B" w:rsidP="008B6A0A">
            <w:pPr>
              <w:pStyle w:val="ListParagraph"/>
              <w:spacing w:before="120"/>
              <w:ind w:left="0"/>
              <w:contextualSpacing w:val="0"/>
            </w:pPr>
            <w:r>
              <w:t>0%</w:t>
            </w:r>
            <w:r w:rsidR="0066211A">
              <w:t xml:space="preserve">, </w:t>
            </w:r>
            <w:r w:rsidR="008B6A0A">
              <w:t>average</w:t>
            </w:r>
            <w:r w:rsidR="0066211A">
              <w:t xml:space="preserve"> 2017 = 86%</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sidRPr="00511756">
              <w:rPr>
                <w:rFonts w:ascii="Arial" w:hAnsi="Arial" w:cs="Arial"/>
                <w:b/>
                <w:sz w:val="20"/>
                <w:szCs w:val="20"/>
              </w:rPr>
              <w:t>MSM on NHIS</w:t>
            </w:r>
          </w:p>
        </w:tc>
        <w:tc>
          <w:tcPr>
            <w:tcW w:w="2977" w:type="dxa"/>
          </w:tcPr>
          <w:p w:rsidR="00987D8E" w:rsidRPr="001571F6" w:rsidRDefault="0073711B" w:rsidP="008B6A0A">
            <w:pPr>
              <w:pStyle w:val="ListParagraph"/>
              <w:spacing w:before="120"/>
              <w:ind w:left="0"/>
              <w:contextualSpacing w:val="0"/>
            </w:pPr>
            <w:r>
              <w:t>154%</w:t>
            </w:r>
            <w:r w:rsidR="0066211A">
              <w:t xml:space="preserve">, </w:t>
            </w:r>
            <w:r w:rsidR="008B6A0A">
              <w:t>average</w:t>
            </w:r>
            <w:r w:rsidR="0066211A">
              <w:t xml:space="preserve"> 2017 = 238%</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rPr>
                <w:b/>
              </w:rPr>
            </w:pPr>
            <w:r>
              <w:rPr>
                <w:rFonts w:ascii="Arial" w:hAnsi="Arial" w:cs="Arial"/>
                <w:b/>
                <w:sz w:val="20"/>
                <w:szCs w:val="20"/>
              </w:rPr>
              <w:t xml:space="preserve">Clients enrolled in </w:t>
            </w:r>
            <w:proofErr w:type="spellStart"/>
            <w:r>
              <w:rPr>
                <w:rFonts w:ascii="Arial" w:hAnsi="Arial" w:cs="Arial"/>
                <w:b/>
                <w:sz w:val="20"/>
                <w:szCs w:val="20"/>
              </w:rPr>
              <w:t>programme</w:t>
            </w:r>
            <w:proofErr w:type="spellEnd"/>
          </w:p>
        </w:tc>
        <w:tc>
          <w:tcPr>
            <w:tcW w:w="2977" w:type="dxa"/>
          </w:tcPr>
          <w:p w:rsidR="00987D8E" w:rsidRPr="001571F6" w:rsidRDefault="0073711B" w:rsidP="008B6A0A">
            <w:pPr>
              <w:pStyle w:val="ListParagraph"/>
              <w:spacing w:before="120"/>
              <w:ind w:left="0"/>
              <w:contextualSpacing w:val="0"/>
            </w:pPr>
            <w:r>
              <w:t>346%</w:t>
            </w:r>
            <w:r w:rsidR="008B6A0A">
              <w:t>, average 2017 360%</w:t>
            </w:r>
          </w:p>
        </w:tc>
        <w:tc>
          <w:tcPr>
            <w:tcW w:w="4710" w:type="dxa"/>
          </w:tcPr>
          <w:p w:rsidR="00987D8E" w:rsidRPr="001571F6" w:rsidRDefault="00987D8E" w:rsidP="00987D8E">
            <w:pPr>
              <w:pStyle w:val="ListParagraph"/>
              <w:spacing w:before="120"/>
              <w:ind w:left="0"/>
              <w:contextualSpacing w:val="0"/>
            </w:pPr>
          </w:p>
        </w:tc>
      </w:tr>
      <w:tr w:rsidR="00987D8E" w:rsidTr="00160DA5">
        <w:tc>
          <w:tcPr>
            <w:tcW w:w="1906" w:type="dxa"/>
          </w:tcPr>
          <w:p w:rsidR="00987D8E" w:rsidRDefault="00987D8E" w:rsidP="00987D8E">
            <w:pPr>
              <w:pStyle w:val="ListParagraph"/>
              <w:spacing w:before="120"/>
              <w:ind w:left="0"/>
              <w:contextualSpacing w:val="0"/>
              <w:jc w:val="both"/>
              <w:rPr>
                <w:b/>
              </w:rPr>
            </w:pPr>
            <w:r>
              <w:rPr>
                <w:rFonts w:ascii="Arial" w:hAnsi="Arial" w:cs="Arial"/>
                <w:b/>
                <w:sz w:val="20"/>
                <w:szCs w:val="20"/>
              </w:rPr>
              <w:t>HBC PLHIV</w:t>
            </w:r>
          </w:p>
        </w:tc>
        <w:tc>
          <w:tcPr>
            <w:tcW w:w="2977" w:type="dxa"/>
          </w:tcPr>
          <w:p w:rsidR="00987D8E" w:rsidRPr="006965DE" w:rsidRDefault="0073711B" w:rsidP="00987D8E">
            <w:pPr>
              <w:pStyle w:val="ListParagraph"/>
              <w:spacing w:before="120"/>
              <w:ind w:left="0"/>
              <w:contextualSpacing w:val="0"/>
              <w:jc w:val="both"/>
            </w:pPr>
            <w:r>
              <w:t>346%</w:t>
            </w:r>
          </w:p>
        </w:tc>
        <w:tc>
          <w:tcPr>
            <w:tcW w:w="4710" w:type="dxa"/>
            <w:tcBorders>
              <w:bottom w:val="single" w:sz="4" w:space="0" w:color="auto"/>
            </w:tcBorders>
          </w:tcPr>
          <w:p w:rsidR="00987D8E" w:rsidRPr="003F712E" w:rsidRDefault="00987D8E" w:rsidP="00987D8E">
            <w:pPr>
              <w:pStyle w:val="ListParagraph"/>
              <w:spacing w:before="120"/>
              <w:ind w:left="0"/>
              <w:contextualSpacing w:val="0"/>
              <w:jc w:val="both"/>
            </w:pPr>
          </w:p>
        </w:tc>
      </w:tr>
      <w:tr w:rsidR="00987D8E" w:rsidTr="00160DA5">
        <w:tc>
          <w:tcPr>
            <w:tcW w:w="1906" w:type="dxa"/>
          </w:tcPr>
          <w:p w:rsidR="00987D8E" w:rsidRDefault="00987D8E" w:rsidP="00987D8E">
            <w:pPr>
              <w:pStyle w:val="ListParagraph"/>
              <w:spacing w:before="120"/>
              <w:ind w:left="0"/>
              <w:contextualSpacing w:val="0"/>
              <w:rPr>
                <w:b/>
              </w:rPr>
            </w:pPr>
            <w:r w:rsidRPr="00511756">
              <w:rPr>
                <w:rFonts w:ascii="Arial" w:hAnsi="Arial" w:cs="Arial"/>
                <w:b/>
                <w:sz w:val="20"/>
                <w:szCs w:val="20"/>
              </w:rPr>
              <w:t>PLHIV on NHIS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87D8E" w:rsidRPr="006965DE" w:rsidRDefault="0073711B" w:rsidP="008B6A0A">
            <w:pPr>
              <w:rPr>
                <w:rFonts w:ascii="Calibri" w:hAnsi="Calibri"/>
                <w:color w:val="000000"/>
              </w:rPr>
            </w:pPr>
            <w:r>
              <w:rPr>
                <w:rFonts w:ascii="Calibri" w:hAnsi="Calibri"/>
                <w:color w:val="000000"/>
              </w:rPr>
              <w:t xml:space="preserve">204%, </w:t>
            </w:r>
            <w:r w:rsidR="008B6A0A">
              <w:rPr>
                <w:rFonts w:ascii="Calibri" w:hAnsi="Calibri"/>
                <w:color w:val="000000"/>
              </w:rPr>
              <w:t>average</w:t>
            </w:r>
            <w:r>
              <w:rPr>
                <w:rFonts w:ascii="Calibri" w:hAnsi="Calibri"/>
                <w:color w:val="000000"/>
              </w:rPr>
              <w:t xml:space="preserve"> 2017 = 618%</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rsidR="00987D8E" w:rsidRPr="00511756" w:rsidRDefault="00987D8E" w:rsidP="00987D8E">
            <w:pPr>
              <w:pStyle w:val="ListParagraph"/>
              <w:spacing w:before="120"/>
              <w:ind w:left="0"/>
              <w:contextualSpacing w:val="0"/>
              <w:jc w:val="both"/>
            </w:pPr>
          </w:p>
        </w:tc>
      </w:tr>
    </w:tbl>
    <w:p w:rsidR="002B58B7" w:rsidRDefault="002B58B7" w:rsidP="00987D8E">
      <w:pPr>
        <w:spacing w:after="0"/>
        <w:jc w:val="both"/>
      </w:pPr>
    </w:p>
    <w:p w:rsidR="006965DE" w:rsidRPr="006425DF" w:rsidRDefault="006965DE" w:rsidP="006965DE">
      <w:pPr>
        <w:pStyle w:val="ListParagraph"/>
        <w:spacing w:after="0"/>
        <w:ind w:left="1077"/>
        <w:contextualSpacing w:val="0"/>
        <w:jc w:val="both"/>
      </w:pPr>
    </w:p>
    <w:p w:rsidR="00F957F5" w:rsidRPr="007D3EA9" w:rsidRDefault="00167B82"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lastRenderedPageBreak/>
        <w:t>NACP</w:t>
      </w:r>
      <w:r w:rsidR="00F957F5" w:rsidRPr="007D3EA9">
        <w:rPr>
          <w:b/>
          <w:color w:val="C00000"/>
          <w:sz w:val="24"/>
          <w:szCs w:val="24"/>
        </w:rPr>
        <w:t xml:space="preserve"> Dash Board:</w:t>
      </w:r>
    </w:p>
    <w:p w:rsidR="008350BF" w:rsidRDefault="008350BF" w:rsidP="00FC72F1">
      <w:pPr>
        <w:pStyle w:val="ListParagraph"/>
        <w:numPr>
          <w:ilvl w:val="0"/>
          <w:numId w:val="2"/>
        </w:numPr>
        <w:spacing w:before="240" w:after="120"/>
        <w:ind w:left="357" w:hanging="357"/>
        <w:contextualSpacing w:val="0"/>
        <w:jc w:val="both"/>
        <w:rPr>
          <w:b/>
        </w:rPr>
      </w:pPr>
      <w:r>
        <w:rPr>
          <w:b/>
        </w:rPr>
        <w:t>Follow up:</w:t>
      </w:r>
    </w:p>
    <w:p w:rsidR="000424A8" w:rsidRDefault="000424A8" w:rsidP="00FC72F1">
      <w:pPr>
        <w:pStyle w:val="ListParagraph"/>
        <w:numPr>
          <w:ilvl w:val="0"/>
          <w:numId w:val="15"/>
        </w:numPr>
        <w:spacing w:after="0"/>
        <w:jc w:val="both"/>
      </w:pPr>
      <w:r w:rsidRPr="00BA2605">
        <w:rPr>
          <w:b/>
        </w:rPr>
        <w:t>Condom procurement:</w:t>
      </w:r>
      <w:r>
        <w:t xml:space="preserve"> </w:t>
      </w:r>
      <w:r w:rsidR="00B46A36">
        <w:t>5m USAID under FDA testing, 10m be safe USAID to be expected in 2 tranches (April, May), UNFPA still needs to register ) started already</w:t>
      </w:r>
    </w:p>
    <w:p w:rsidR="00BF5182" w:rsidRDefault="00BF5182" w:rsidP="00FC72F1">
      <w:pPr>
        <w:pStyle w:val="ListParagraph"/>
        <w:numPr>
          <w:ilvl w:val="0"/>
          <w:numId w:val="14"/>
        </w:numPr>
        <w:spacing w:after="0"/>
        <w:jc w:val="both"/>
      </w:pPr>
      <w:r w:rsidRPr="00BA2605">
        <w:rPr>
          <w:b/>
        </w:rPr>
        <w:t>PCR machine</w:t>
      </w:r>
      <w:r w:rsidR="00B46A36" w:rsidRPr="00BA2605">
        <w:rPr>
          <w:b/>
        </w:rPr>
        <w:t>s</w:t>
      </w:r>
      <w:r w:rsidRPr="00BA2605">
        <w:rPr>
          <w:b/>
        </w:rPr>
        <w:t>:</w:t>
      </w:r>
      <w:r>
        <w:t xml:space="preserve"> </w:t>
      </w:r>
      <w:r w:rsidR="00B46A36">
        <w:t xml:space="preserve">discussions with facilities about maintenance and set up. </w:t>
      </w:r>
      <w:r w:rsidR="00BA2605">
        <w:t>Three machines, have n</w:t>
      </w:r>
      <w:r w:rsidR="00B46A36">
        <w:t>ot arrived yet, expected Feb</w:t>
      </w:r>
      <w:r w:rsidR="00BA2605">
        <w:t xml:space="preserve">/March, installed by E/March in </w:t>
      </w:r>
      <w:r w:rsidR="00B46A36">
        <w:t>Korle Bu, KATH, Sunyani</w:t>
      </w:r>
      <w:r w:rsidR="00BA2605">
        <w:t>.</w:t>
      </w:r>
      <w:r w:rsidR="00B46A36">
        <w:t xml:space="preserve"> </w:t>
      </w:r>
      <w:r w:rsidR="00BA2605">
        <w:t>O</w:t>
      </w:r>
      <w:r w:rsidR="00B46A36">
        <w:t xml:space="preserve">ld </w:t>
      </w:r>
      <w:r w:rsidR="00BA2605">
        <w:t>machine</w:t>
      </w:r>
      <w:r w:rsidR="00B46A36">
        <w:t>s will go to UWR, Kumasi South and Ridge hospital</w:t>
      </w:r>
      <w:r w:rsidR="00817ED0">
        <w:t>. Machine</w:t>
      </w:r>
      <w:r w:rsidR="00BA2605">
        <w:t>s are not leased, too expensive.</w:t>
      </w:r>
      <w:r w:rsidR="00817ED0">
        <w:t xml:space="preserve"> </w:t>
      </w:r>
      <w:r w:rsidR="00BA2605">
        <w:t xml:space="preserve">New: </w:t>
      </w:r>
      <w:r w:rsidR="00817ED0">
        <w:t>improve documentation of equipment challenges to monitor equipment performance</w:t>
      </w:r>
    </w:p>
    <w:p w:rsidR="00BF5182" w:rsidRDefault="00BA2605" w:rsidP="00FC72F1">
      <w:pPr>
        <w:pStyle w:val="ListParagraph"/>
        <w:numPr>
          <w:ilvl w:val="0"/>
          <w:numId w:val="14"/>
        </w:numPr>
        <w:spacing w:after="0"/>
        <w:jc w:val="both"/>
      </w:pPr>
      <w:r w:rsidRPr="00BA2605">
        <w:rPr>
          <w:b/>
        </w:rPr>
        <w:t>S</w:t>
      </w:r>
      <w:r w:rsidR="00BF5182" w:rsidRPr="00BA2605">
        <w:rPr>
          <w:b/>
        </w:rPr>
        <w:t>ample transport:</w:t>
      </w:r>
      <w:r w:rsidR="008454FE">
        <w:t xml:space="preserve"> </w:t>
      </w:r>
      <w:r w:rsidR="00817ED0">
        <w:t>draft cont</w:t>
      </w:r>
      <w:r w:rsidR="00DF0B06">
        <w:t>ract with GHS</w:t>
      </w:r>
      <w:r>
        <w:t>.</w:t>
      </w:r>
      <w:r w:rsidR="00DF0B06">
        <w:t xml:space="preserve"> April start in all regions. GF will cover 5 regions, CDC the other 5. Private logistics</w:t>
      </w:r>
      <w:r>
        <w:t xml:space="preserve"> to carry out sample transport</w:t>
      </w:r>
      <w:r w:rsidR="00DF0B06">
        <w:t xml:space="preserve">. </w:t>
      </w:r>
    </w:p>
    <w:p w:rsidR="009924D5" w:rsidRDefault="00BA2605" w:rsidP="00FC72F1">
      <w:pPr>
        <w:pStyle w:val="ListParagraph"/>
        <w:numPr>
          <w:ilvl w:val="0"/>
          <w:numId w:val="14"/>
        </w:numPr>
        <w:spacing w:after="0"/>
        <w:jc w:val="both"/>
      </w:pPr>
      <w:r w:rsidRPr="00BA2605">
        <w:rPr>
          <w:b/>
        </w:rPr>
        <w:t>P</w:t>
      </w:r>
      <w:r w:rsidR="009924D5" w:rsidRPr="00BA2605">
        <w:rPr>
          <w:b/>
        </w:rPr>
        <w:t>rocurement of VL sample tubes:</w:t>
      </w:r>
      <w:r w:rsidR="00DF0B06">
        <w:t xml:space="preserve"> contract awarded in late Dec to supply within 60 days, company asked for extension</w:t>
      </w:r>
    </w:p>
    <w:p w:rsidR="00BF5182" w:rsidRDefault="00BA2605" w:rsidP="00FC72F1">
      <w:pPr>
        <w:pStyle w:val="ListParagraph"/>
        <w:numPr>
          <w:ilvl w:val="0"/>
          <w:numId w:val="14"/>
        </w:numPr>
        <w:spacing w:after="0"/>
        <w:jc w:val="both"/>
      </w:pPr>
      <w:r w:rsidRPr="00BA2605">
        <w:rPr>
          <w:b/>
        </w:rPr>
        <w:t>P</w:t>
      </w:r>
      <w:r w:rsidR="00BF5182" w:rsidRPr="00BA2605">
        <w:rPr>
          <w:b/>
        </w:rPr>
        <w:t>rocurement of PMTCT registers:</w:t>
      </w:r>
      <w:r w:rsidR="00BF5182">
        <w:t xml:space="preserve"> </w:t>
      </w:r>
      <w:r w:rsidR="00DF0B06">
        <w:t>FHD has received 4000 copies (3000 ANC facilities). Not enough to fill the gap. Procurement takes about 5 months. PPME and FHD in charge shall take up the next ones. Engage PMS</w:t>
      </w:r>
    </w:p>
    <w:p w:rsidR="009924D5" w:rsidRDefault="009924D5" w:rsidP="00FC72F1">
      <w:pPr>
        <w:pStyle w:val="ListParagraph"/>
        <w:numPr>
          <w:ilvl w:val="0"/>
          <w:numId w:val="14"/>
        </w:numPr>
        <w:spacing w:after="0"/>
        <w:jc w:val="both"/>
      </w:pPr>
      <w:r w:rsidRPr="00B351BD">
        <w:rPr>
          <w:b/>
        </w:rPr>
        <w:t>Strengthen focus on low performing regions and facilities</w:t>
      </w:r>
      <w:r w:rsidR="00BF5182" w:rsidRPr="00B351BD">
        <w:rPr>
          <w:b/>
        </w:rPr>
        <w:t>:</w:t>
      </w:r>
      <w:r w:rsidR="00DF0B06">
        <w:t xml:space="preserve"> Review meeting: regions saw their performance. Data capturing = one of the challenges, requires more resources for monitoring (slightly more than 1000 GHS per quarter per districts) = systemic challenges. Some </w:t>
      </w:r>
      <w:r w:rsidR="00112EF8">
        <w:t xml:space="preserve">ANC </w:t>
      </w:r>
      <w:r w:rsidR="00DF0B06">
        <w:t>facilities still use old registers that lack capturing of certain data</w:t>
      </w:r>
      <w:r w:rsidR="00566183">
        <w:t xml:space="preserve">. However, a direct comparison of pregnant women tested positive and their enrollment (compared to the generic GF target) showed a different picture of the regional performance. </w:t>
      </w:r>
    </w:p>
    <w:p w:rsidR="00B351BD" w:rsidRPr="00696E7C" w:rsidRDefault="00696E7C" w:rsidP="00696E7C">
      <w:pPr>
        <w:pStyle w:val="ListParagraph"/>
        <w:numPr>
          <w:ilvl w:val="0"/>
          <w:numId w:val="2"/>
        </w:numPr>
        <w:spacing w:before="240" w:after="120"/>
        <w:ind w:left="357" w:hanging="357"/>
        <w:contextualSpacing w:val="0"/>
        <w:rPr>
          <w:b/>
        </w:rPr>
      </w:pPr>
      <w:r>
        <w:rPr>
          <w:b/>
        </w:rPr>
        <w:t>Site visit to BAR:</w:t>
      </w:r>
    </w:p>
    <w:p w:rsidR="000A4014" w:rsidRDefault="00FC72F1" w:rsidP="00696E7C">
      <w:pPr>
        <w:pStyle w:val="ListParagraph"/>
        <w:numPr>
          <w:ilvl w:val="0"/>
          <w:numId w:val="23"/>
        </w:numPr>
        <w:spacing w:before="240" w:after="0"/>
      </w:pPr>
      <w:r w:rsidRPr="00AB31EC">
        <w:t>4 HSS sites do not seem to be representative of the HIV prevalence in the region</w:t>
      </w:r>
      <w:r w:rsidR="00A12066">
        <w:t>, DHIMS prevalence is much lower</w:t>
      </w:r>
    </w:p>
    <w:p w:rsidR="002C6680" w:rsidRDefault="002C6680" w:rsidP="00696E7C">
      <w:pPr>
        <w:pStyle w:val="ListParagraph"/>
        <w:numPr>
          <w:ilvl w:val="0"/>
          <w:numId w:val="23"/>
        </w:numPr>
        <w:spacing w:before="240" w:after="0"/>
      </w:pPr>
      <w:r>
        <w:t xml:space="preserve">Good availability of commodities, hardly any shortages except for </w:t>
      </w:r>
      <w:proofErr w:type="spellStart"/>
      <w:r>
        <w:t>Oraquick</w:t>
      </w:r>
      <w:proofErr w:type="spellEnd"/>
    </w:p>
    <w:p w:rsidR="000A4014" w:rsidRPr="003773E1" w:rsidRDefault="00AB31EC" w:rsidP="00696E7C">
      <w:pPr>
        <w:pStyle w:val="ListParagraph"/>
        <w:numPr>
          <w:ilvl w:val="0"/>
          <w:numId w:val="23"/>
        </w:numPr>
        <w:spacing w:before="240" w:after="0"/>
        <w:rPr>
          <w:i/>
        </w:rPr>
      </w:pPr>
      <w:r>
        <w:t xml:space="preserve">Best practices: </w:t>
      </w:r>
      <w:r w:rsidR="00FC72F1" w:rsidRPr="00AB31EC">
        <w:t xml:space="preserve">Best practices: all pregnant women get their HTS at the PMTCT unit and those HIV+ their treatment </w:t>
      </w:r>
      <w:r w:rsidR="002C6680">
        <w:t>but midwives inquire about adherence and remind women of EID</w:t>
      </w:r>
      <w:r w:rsidR="003773E1">
        <w:t xml:space="preserve">: </w:t>
      </w:r>
      <w:r w:rsidR="000D1BE1">
        <w:t xml:space="preserve">NACP answer: </w:t>
      </w:r>
      <w:r w:rsidR="003773E1" w:rsidRPr="003773E1">
        <w:rPr>
          <w:i/>
        </w:rPr>
        <w:t xml:space="preserve">requires </w:t>
      </w:r>
      <w:r w:rsidR="000D1BE1">
        <w:rPr>
          <w:i/>
        </w:rPr>
        <w:t xml:space="preserve">even more </w:t>
      </w:r>
      <w:r w:rsidR="003773E1" w:rsidRPr="003773E1">
        <w:rPr>
          <w:i/>
        </w:rPr>
        <w:t>additional registers</w:t>
      </w:r>
    </w:p>
    <w:p w:rsidR="00AB31EC" w:rsidRDefault="00AB31EC" w:rsidP="00696E7C">
      <w:pPr>
        <w:pStyle w:val="ListParagraph"/>
        <w:numPr>
          <w:ilvl w:val="0"/>
          <w:numId w:val="23"/>
        </w:numPr>
        <w:spacing w:before="240" w:after="0"/>
      </w:pPr>
      <w:r>
        <w:t>99% of ANC registrants are tested for HIV but region</w:t>
      </w:r>
      <w:r w:rsidR="002C6680">
        <w:t>al ANC coverage is 74% - on</w:t>
      </w:r>
      <w:r w:rsidR="000D1BE1">
        <w:t>e</w:t>
      </w:r>
      <w:r w:rsidR="002C6680">
        <w:t xml:space="preserve"> possible reason: fear of </w:t>
      </w:r>
      <w:r w:rsidR="000D1BE1">
        <w:t>mistreatment</w:t>
      </w:r>
      <w:r w:rsidR="002C6680">
        <w:t xml:space="preserve"> by midwives, particularly among the younger women</w:t>
      </w:r>
      <w:r>
        <w:t xml:space="preserve"> </w:t>
      </w:r>
      <w:r w:rsidR="000D1BE1">
        <w:t>as reported by malaria NGOs</w:t>
      </w:r>
    </w:p>
    <w:p w:rsidR="001C3DD3" w:rsidRDefault="001C3DD3" w:rsidP="00696E7C">
      <w:pPr>
        <w:pStyle w:val="ListParagraph"/>
        <w:numPr>
          <w:ilvl w:val="0"/>
          <w:numId w:val="23"/>
        </w:numPr>
        <w:spacing w:before="240" w:after="0"/>
      </w:pPr>
      <w:r>
        <w:t>Instant enrollment on ART</w:t>
      </w:r>
    </w:p>
    <w:p w:rsidR="002C6680" w:rsidRDefault="002C6680" w:rsidP="00696E7C">
      <w:pPr>
        <w:pStyle w:val="ListParagraph"/>
        <w:numPr>
          <w:ilvl w:val="0"/>
          <w:numId w:val="23"/>
        </w:numPr>
        <w:spacing w:before="240" w:after="0"/>
      </w:pPr>
      <w:r>
        <w:t>Disclosure to spouses remains a big challenge</w:t>
      </w:r>
    </w:p>
    <w:p w:rsidR="002C6680" w:rsidRDefault="002C6680" w:rsidP="00CA50F4">
      <w:pPr>
        <w:pStyle w:val="ListParagraph"/>
        <w:numPr>
          <w:ilvl w:val="0"/>
          <w:numId w:val="23"/>
        </w:numPr>
        <w:spacing w:before="240" w:after="0"/>
      </w:pPr>
      <w:r>
        <w:t>Systematic testing during labor if HTS result cannot be produced</w:t>
      </w:r>
      <w:r w:rsidR="000D1BE1" w:rsidRPr="000D1BE1">
        <w:t xml:space="preserve"> </w:t>
      </w:r>
    </w:p>
    <w:p w:rsidR="002C6680" w:rsidRPr="00B3133F" w:rsidRDefault="002C6680" w:rsidP="00696E7C">
      <w:pPr>
        <w:pStyle w:val="ListParagraph"/>
        <w:numPr>
          <w:ilvl w:val="0"/>
          <w:numId w:val="23"/>
        </w:numPr>
        <w:spacing w:before="240" w:after="0"/>
        <w:rPr>
          <w:i/>
        </w:rPr>
      </w:pPr>
      <w:r>
        <w:t>VL testing: info has not spread to all facilities but those that send samples receive the results within a week. Cross cutting VL suppression rate = about 50%. PMTCT forms do not foresee capturing of VL result</w:t>
      </w:r>
      <w:r w:rsidR="00B3133F">
        <w:t xml:space="preserve">. </w:t>
      </w:r>
      <w:r w:rsidR="00B3133F" w:rsidRPr="00B3133F">
        <w:rPr>
          <w:i/>
        </w:rPr>
        <w:t>NACP answer:</w:t>
      </w:r>
      <w:r w:rsidR="003773E1" w:rsidRPr="00B3133F">
        <w:rPr>
          <w:i/>
        </w:rPr>
        <w:t xml:space="preserve"> Patient folder contains space for VL result</w:t>
      </w:r>
    </w:p>
    <w:p w:rsidR="00B3133F" w:rsidRDefault="00B3133F" w:rsidP="00B3133F">
      <w:pPr>
        <w:pStyle w:val="ListParagraph"/>
        <w:numPr>
          <w:ilvl w:val="0"/>
          <w:numId w:val="23"/>
        </w:numPr>
        <w:spacing w:before="240" w:after="0"/>
      </w:pPr>
      <w:proofErr w:type="spellStart"/>
      <w:r>
        <w:t>Kintampo</w:t>
      </w:r>
      <w:proofErr w:type="spellEnd"/>
      <w:r>
        <w:t xml:space="preserve"> Municipal: No reagents for years for hematology and chemistry analyzers, no VL </w:t>
      </w:r>
    </w:p>
    <w:p w:rsidR="00097AA7" w:rsidRDefault="00097AA7" w:rsidP="00696E7C">
      <w:pPr>
        <w:pStyle w:val="ListParagraph"/>
        <w:numPr>
          <w:ilvl w:val="0"/>
          <w:numId w:val="23"/>
        </w:numPr>
        <w:spacing w:before="240" w:after="0"/>
      </w:pPr>
      <w:r>
        <w:t>EID: not much information since different ward but staff</w:t>
      </w:r>
      <w:r w:rsidRPr="00097AA7">
        <w:t xml:space="preserve"> emphasized the importance of more intense education on PMTCT and EID at all levels but particularly at churches.</w:t>
      </w:r>
    </w:p>
    <w:p w:rsidR="00B3133F" w:rsidRPr="00B3133F" w:rsidRDefault="00B3133F" w:rsidP="00B3133F">
      <w:pPr>
        <w:pStyle w:val="ListParagraph"/>
        <w:numPr>
          <w:ilvl w:val="0"/>
          <w:numId w:val="23"/>
        </w:numPr>
        <w:spacing w:before="240" w:after="0"/>
        <w:rPr>
          <w:i/>
        </w:rPr>
      </w:pPr>
      <w:proofErr w:type="spellStart"/>
      <w:r>
        <w:lastRenderedPageBreak/>
        <w:t>Kintampo</w:t>
      </w:r>
      <w:proofErr w:type="spellEnd"/>
      <w:r>
        <w:t xml:space="preserve"> ANC staff still informs pregnant HIV+ women about EID at 18 months, not after birth. </w:t>
      </w:r>
      <w:r w:rsidRPr="00B3133F">
        <w:rPr>
          <w:i/>
        </w:rPr>
        <w:t xml:space="preserve">NACP recommends to inquire during site visit about for how long staff interviewed has been working there – may be new and not yet have to complete information </w:t>
      </w:r>
    </w:p>
    <w:p w:rsidR="00AB31EC" w:rsidRDefault="002C6680" w:rsidP="00696E7C">
      <w:pPr>
        <w:pStyle w:val="ListParagraph"/>
        <w:numPr>
          <w:ilvl w:val="0"/>
          <w:numId w:val="23"/>
        </w:numPr>
        <w:spacing w:before="240" w:after="0"/>
      </w:pPr>
      <w:r>
        <w:t>Repeated statement that achievement rates are less than actual due to data challenges</w:t>
      </w:r>
    </w:p>
    <w:p w:rsidR="001C3DD3" w:rsidRDefault="001C3DD3" w:rsidP="00696E7C">
      <w:pPr>
        <w:pStyle w:val="ListParagraph"/>
        <w:numPr>
          <w:ilvl w:val="0"/>
          <w:numId w:val="23"/>
        </w:numPr>
        <w:spacing w:before="240" w:after="0"/>
      </w:pPr>
      <w:proofErr w:type="spellStart"/>
      <w:r>
        <w:t>Kintampo</w:t>
      </w:r>
      <w:proofErr w:type="spellEnd"/>
      <w:r>
        <w:t xml:space="preserve"> Municipal: about </w:t>
      </w:r>
      <w:r w:rsidR="0018611B">
        <w:t xml:space="preserve">cum. </w:t>
      </w:r>
      <w:r>
        <w:t>50% LTFU</w:t>
      </w:r>
      <w:r w:rsidR="00B3133F">
        <w:t xml:space="preserve"> but no info </w:t>
      </w:r>
      <w:r w:rsidR="0018611B">
        <w:t>about reasons.</w:t>
      </w:r>
      <w:r>
        <w:t xml:space="preserve"> MoH are not paid </w:t>
      </w:r>
      <w:r w:rsidR="0018611B">
        <w:t>and not able to follow up on them effectively, also problem of areas without network coverage</w:t>
      </w:r>
    </w:p>
    <w:p w:rsidR="0088257D" w:rsidRPr="00AB31EC" w:rsidRDefault="0088257D" w:rsidP="00696E7C">
      <w:pPr>
        <w:pStyle w:val="ListParagraph"/>
        <w:numPr>
          <w:ilvl w:val="0"/>
          <w:numId w:val="23"/>
        </w:numPr>
        <w:spacing w:before="240" w:after="0"/>
      </w:pPr>
      <w:r>
        <w:t>PCR machine in great shape, receive</w:t>
      </w:r>
      <w:r w:rsidR="0018611B">
        <w:t>d</w:t>
      </w:r>
      <w:r>
        <w:t xml:space="preserve"> a few samples from the three northern regions, &gt;5000 VL tests and about 1100 EID tests in 2017, reagents always available since May 2016, same for DBS but </w:t>
      </w:r>
      <w:r w:rsidR="0018611B">
        <w:t>liaise with</w:t>
      </w:r>
      <w:r>
        <w:t xml:space="preserve"> other facilities</w:t>
      </w:r>
      <w:r w:rsidR="0018611B">
        <w:t xml:space="preserve"> if stock outs occur</w:t>
      </w:r>
      <w:r>
        <w:t xml:space="preserve">. Results communicated via email, WA, phone, hard copy </w:t>
      </w:r>
    </w:p>
    <w:p w:rsidR="009D5974" w:rsidRDefault="00F957F5" w:rsidP="00FC72F1">
      <w:pPr>
        <w:pStyle w:val="ListParagraph"/>
        <w:numPr>
          <w:ilvl w:val="0"/>
          <w:numId w:val="2"/>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Default="00E73740" w:rsidP="007461FA">
            <w:pPr>
              <w:pStyle w:val="ListParagraph"/>
              <w:spacing w:before="120"/>
              <w:ind w:left="0"/>
              <w:contextualSpacing w:val="0"/>
            </w:pPr>
            <w:r>
              <w:t>94%, 4m USD more spent than disbursed</w:t>
            </w:r>
            <w:r w:rsidR="00A3129F">
              <w:t xml:space="preserve">. </w:t>
            </w:r>
          </w:p>
          <w:p w:rsidR="00A3129F" w:rsidRPr="001571F6" w:rsidRDefault="00A3129F" w:rsidP="007461FA">
            <w:pPr>
              <w:pStyle w:val="ListParagraph"/>
              <w:spacing w:before="120"/>
              <w:ind w:left="0"/>
              <w:contextualSpacing w:val="0"/>
            </w:pPr>
            <w:r>
              <w:t xml:space="preserve">How come pharma expenditures are 32% above the budget? </w:t>
            </w:r>
          </w:p>
        </w:tc>
        <w:tc>
          <w:tcPr>
            <w:tcW w:w="4710" w:type="dxa"/>
          </w:tcPr>
          <w:p w:rsidR="00F1000E" w:rsidRDefault="00142093" w:rsidP="007461FA">
            <w:pPr>
              <w:pStyle w:val="ListParagraph"/>
              <w:spacing w:before="120"/>
              <w:ind w:left="0"/>
              <w:contextualSpacing w:val="0"/>
              <w:jc w:val="both"/>
            </w:pPr>
            <w:r>
              <w:t>Most is PPM procurement</w:t>
            </w:r>
          </w:p>
          <w:p w:rsidR="005C0FCA" w:rsidRDefault="005C0FCA" w:rsidP="007461FA">
            <w:pPr>
              <w:pStyle w:val="ListParagraph"/>
              <w:spacing w:before="120"/>
              <w:ind w:left="0"/>
              <w:contextualSpacing w:val="0"/>
              <w:jc w:val="both"/>
            </w:pPr>
            <w:r>
              <w:t>NACP specific expenditures: 82%, PPM: 107%,</w:t>
            </w:r>
          </w:p>
          <w:p w:rsidR="005C0FCA" w:rsidRPr="001571F6" w:rsidRDefault="005C0FCA" w:rsidP="005C0FCA">
            <w:pPr>
              <w:pStyle w:val="ListParagraph"/>
              <w:spacing w:before="120"/>
              <w:ind w:left="0"/>
              <w:contextualSpacing w:val="0"/>
              <w:jc w:val="both"/>
            </w:pPr>
            <w:r>
              <w:t xml:space="preserve">Some activities postponed to 2018 (Laboratory systems strengthening, EQUIP). Late disbursement from GF came late, late disbursements to regions.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SR</w:t>
            </w:r>
          </w:p>
        </w:tc>
        <w:tc>
          <w:tcPr>
            <w:tcW w:w="2977" w:type="dxa"/>
          </w:tcPr>
          <w:p w:rsidR="00F1000E" w:rsidRPr="001571F6" w:rsidRDefault="00E73740" w:rsidP="007461FA">
            <w:pPr>
              <w:pStyle w:val="ListParagraph"/>
              <w:spacing w:before="120"/>
              <w:ind w:left="0"/>
              <w:contextualSpacing w:val="0"/>
            </w:pPr>
            <w:r>
              <w:t xml:space="preserve">Status quo of regions’ retirement? 9 regions red </w:t>
            </w:r>
          </w:p>
        </w:tc>
        <w:tc>
          <w:tcPr>
            <w:tcW w:w="4710" w:type="dxa"/>
          </w:tcPr>
          <w:p w:rsidR="00F1000E" w:rsidRPr="001571F6" w:rsidRDefault="005C0FCA" w:rsidP="005C0FCA">
            <w:pPr>
              <w:pStyle w:val="ListParagraph"/>
              <w:spacing w:before="120"/>
              <w:ind w:left="0"/>
              <w:contextualSpacing w:val="0"/>
              <w:jc w:val="both"/>
            </w:pPr>
            <w:r>
              <w:t xml:space="preserve">late disbursement, financial monitoring on regions, extension granted to finalize  </w:t>
            </w:r>
          </w:p>
        </w:tc>
      </w:tr>
    </w:tbl>
    <w:p w:rsidR="00F1000E" w:rsidRPr="009D5974" w:rsidRDefault="00F1000E" w:rsidP="00F1000E">
      <w:pPr>
        <w:pStyle w:val="ListParagraph"/>
        <w:spacing w:before="240" w:after="120"/>
        <w:ind w:left="357"/>
        <w:contextualSpacing w:val="0"/>
        <w:jc w:val="both"/>
        <w:rPr>
          <w:b/>
        </w:rPr>
      </w:pPr>
    </w:p>
    <w:p w:rsidR="00F957F5" w:rsidRDefault="00F957F5" w:rsidP="00FC72F1">
      <w:pPr>
        <w:pStyle w:val="ListParagraph"/>
        <w:numPr>
          <w:ilvl w:val="0"/>
          <w:numId w:val="2"/>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404"/>
        <w:gridCol w:w="2615"/>
        <w:gridCol w:w="5574"/>
      </w:tblGrid>
      <w:tr w:rsidR="00450A82" w:rsidTr="006F645C">
        <w:tc>
          <w:tcPr>
            <w:tcW w:w="1404" w:type="dxa"/>
          </w:tcPr>
          <w:p w:rsidR="00450A82" w:rsidRDefault="00450A82" w:rsidP="006F645C">
            <w:pPr>
              <w:pStyle w:val="ListParagraph"/>
              <w:spacing w:before="120"/>
              <w:ind w:left="0"/>
              <w:contextualSpacing w:val="0"/>
              <w:jc w:val="both"/>
              <w:rPr>
                <w:b/>
              </w:rPr>
            </w:pPr>
            <w:r>
              <w:rPr>
                <w:b/>
              </w:rPr>
              <w:t>Indicator</w:t>
            </w:r>
          </w:p>
        </w:tc>
        <w:tc>
          <w:tcPr>
            <w:tcW w:w="2615" w:type="dxa"/>
          </w:tcPr>
          <w:p w:rsidR="00450A82" w:rsidRDefault="00450A82" w:rsidP="006F645C">
            <w:pPr>
              <w:pStyle w:val="ListParagraph"/>
              <w:spacing w:before="120"/>
              <w:ind w:left="0"/>
              <w:contextualSpacing w:val="0"/>
              <w:jc w:val="both"/>
              <w:rPr>
                <w:b/>
              </w:rPr>
            </w:pPr>
            <w:r>
              <w:rPr>
                <w:b/>
              </w:rPr>
              <w:t xml:space="preserve">Observation  </w:t>
            </w:r>
          </w:p>
        </w:tc>
        <w:tc>
          <w:tcPr>
            <w:tcW w:w="5574" w:type="dxa"/>
          </w:tcPr>
          <w:p w:rsidR="00450A82" w:rsidRDefault="00450A82" w:rsidP="006F645C">
            <w:pPr>
              <w:pStyle w:val="ListParagraph"/>
              <w:spacing w:before="120"/>
              <w:ind w:left="0"/>
              <w:contextualSpacing w:val="0"/>
              <w:jc w:val="both"/>
              <w:rPr>
                <w:b/>
              </w:rPr>
            </w:pPr>
            <w:r>
              <w:rPr>
                <w:b/>
              </w:rPr>
              <w:t xml:space="preserve">Answer / Decision </w:t>
            </w:r>
          </w:p>
        </w:tc>
      </w:tr>
      <w:tr w:rsidR="00450A82" w:rsidTr="006F645C">
        <w:trPr>
          <w:trHeight w:val="558"/>
        </w:trPr>
        <w:tc>
          <w:tcPr>
            <w:tcW w:w="1404" w:type="dxa"/>
          </w:tcPr>
          <w:p w:rsidR="00450A82" w:rsidRDefault="00450A82" w:rsidP="006F645C">
            <w:pPr>
              <w:pStyle w:val="ListParagraph"/>
              <w:spacing w:before="120"/>
              <w:ind w:left="0"/>
              <w:contextualSpacing w:val="0"/>
              <w:rPr>
                <w:b/>
              </w:rPr>
            </w:pPr>
            <w:r>
              <w:rPr>
                <w:b/>
              </w:rPr>
              <w:t>Availability of commodities</w:t>
            </w:r>
          </w:p>
        </w:tc>
        <w:tc>
          <w:tcPr>
            <w:tcW w:w="2615" w:type="dxa"/>
          </w:tcPr>
          <w:p w:rsidR="00450A82" w:rsidRDefault="00A62F24" w:rsidP="006F645C">
            <w:pPr>
              <w:spacing w:before="120"/>
            </w:pPr>
            <w:r>
              <w:t xml:space="preserve">Risk of </w:t>
            </w:r>
            <w:r w:rsidR="00D8113F">
              <w:t>expiry</w:t>
            </w:r>
            <w:r>
              <w:t xml:space="preserve"> of </w:t>
            </w:r>
            <w:proofErr w:type="spellStart"/>
            <w:r>
              <w:t>Efavirenz</w:t>
            </w:r>
            <w:proofErr w:type="spellEnd"/>
            <w:r>
              <w:t xml:space="preserve"> 600mg, pediatric </w:t>
            </w:r>
            <w:proofErr w:type="spellStart"/>
            <w:r>
              <w:t>Zid</w:t>
            </w:r>
            <w:proofErr w:type="spellEnd"/>
            <w:r>
              <w:t>/Lam and 2</w:t>
            </w:r>
            <w:r w:rsidRPr="00A62F24">
              <w:rPr>
                <w:vertAlign w:val="superscript"/>
              </w:rPr>
              <w:t>nd</w:t>
            </w:r>
            <w:r>
              <w:t xml:space="preserve"> line Lop/Rit</w:t>
            </w:r>
            <w:r w:rsidR="001F0A2C">
              <w:t xml:space="preserve">. How to avoid expiries? </w:t>
            </w:r>
          </w:p>
          <w:p w:rsidR="00A62F24" w:rsidRDefault="00A62F24" w:rsidP="00A62F24">
            <w:pPr>
              <w:spacing w:before="120"/>
            </w:pPr>
            <w:r>
              <w:t>High stock levels in UER</w:t>
            </w:r>
          </w:p>
          <w:p w:rsidR="00F1098E" w:rsidRDefault="00F1098E" w:rsidP="00A62F24">
            <w:pPr>
              <w:spacing w:before="120"/>
            </w:pPr>
            <w:r>
              <w:t>TLE: WR short</w:t>
            </w:r>
          </w:p>
          <w:p w:rsidR="00F1098E" w:rsidRDefault="00F1098E" w:rsidP="00F1098E">
            <w:pPr>
              <w:spacing w:before="120"/>
            </w:pPr>
            <w:r>
              <w:t>Test kits first response look short</w:t>
            </w:r>
          </w:p>
          <w:p w:rsidR="00A62F24" w:rsidRDefault="00A62F24" w:rsidP="00A62F24">
            <w:pPr>
              <w:spacing w:before="120"/>
            </w:pPr>
            <w:r>
              <w:t xml:space="preserve">Many green but </w:t>
            </w:r>
            <w:r w:rsidR="00F1098E">
              <w:t>even more</w:t>
            </w:r>
            <w:r>
              <w:t xml:space="preserve"> yellow. Next scheduled delivery? </w:t>
            </w:r>
          </w:p>
          <w:p w:rsidR="00F1098E" w:rsidRDefault="00F1098E" w:rsidP="00A62F24">
            <w:pPr>
              <w:spacing w:before="120"/>
            </w:pPr>
            <w:r>
              <w:t xml:space="preserve">6 months outlook? </w:t>
            </w:r>
          </w:p>
          <w:p w:rsidR="00262A9E" w:rsidRPr="001571F6" w:rsidRDefault="00262A9E" w:rsidP="00A62F24">
            <w:pPr>
              <w:spacing w:before="120"/>
            </w:pPr>
            <w:r>
              <w:lastRenderedPageBreak/>
              <w:t>110,000 in demurrage charges – what happened?</w:t>
            </w:r>
          </w:p>
        </w:tc>
        <w:tc>
          <w:tcPr>
            <w:tcW w:w="5574" w:type="dxa"/>
          </w:tcPr>
          <w:p w:rsidR="001F0A2C" w:rsidRDefault="001F0A2C" w:rsidP="006F645C">
            <w:pPr>
              <w:pStyle w:val="ListParagraph"/>
              <w:spacing w:before="120"/>
              <w:ind w:left="0"/>
              <w:contextualSpacing w:val="0"/>
            </w:pPr>
            <w:r>
              <w:lastRenderedPageBreak/>
              <w:t xml:space="preserve">Next PSM meeting: push for 8 </w:t>
            </w:r>
            <w:proofErr w:type="spellStart"/>
            <w:r>
              <w:t>MoS</w:t>
            </w:r>
            <w:proofErr w:type="spellEnd"/>
            <w:r w:rsidR="00E64EE0">
              <w:t xml:space="preserve"> as min national stock level</w:t>
            </w:r>
            <w:r>
              <w:t>. Advocate to regions to have the full complement</w:t>
            </w:r>
            <w:r w:rsidR="00E64EE0">
              <w:t xml:space="preserve"> available at all times</w:t>
            </w:r>
            <w:r>
              <w:t>. Better monitor availability in the regions. RMS managers receive central stock levels and have insight and need to endorse each shipment</w:t>
            </w:r>
            <w:r w:rsidR="00E64EE0">
              <w:t xml:space="preserve"> – their complaint that they don’t have insight into central stock levels before preparing the requisition is not substantiated</w:t>
            </w:r>
            <w:r>
              <w:t xml:space="preserve">. </w:t>
            </w:r>
          </w:p>
          <w:p w:rsidR="005857DE" w:rsidRDefault="005857DE" w:rsidP="006F645C">
            <w:pPr>
              <w:pStyle w:val="ListParagraph"/>
              <w:spacing w:before="120"/>
              <w:ind w:left="0"/>
              <w:contextualSpacing w:val="0"/>
            </w:pPr>
            <w:r>
              <w:t>Nevirapine (very old stock) consumption pattern has changed. Discussions with GF</w:t>
            </w:r>
            <w:r w:rsidR="00E64EE0">
              <w:t xml:space="preserve"> on the way forward</w:t>
            </w:r>
            <w:r>
              <w:t xml:space="preserve">. Some pediatric ARV shifted to Gambia to avoid expiries. Attitudes of prescribers is a problem, continue to break up adult doses for children. </w:t>
            </w:r>
            <w:r w:rsidR="00E64EE0">
              <w:t>NACP assured the OC members that they have a c</w:t>
            </w:r>
            <w:r>
              <w:t>lose eye on expiries.</w:t>
            </w:r>
          </w:p>
          <w:p w:rsidR="0028266C" w:rsidRDefault="00D8113F" w:rsidP="006F645C">
            <w:pPr>
              <w:pStyle w:val="ListParagraph"/>
              <w:spacing w:before="120"/>
              <w:ind w:left="0"/>
              <w:contextualSpacing w:val="0"/>
            </w:pPr>
            <w:r>
              <w:t>TLE ensured for rest of year. Good commodity situation. Challenge: Regions shall store bigger volumes</w:t>
            </w:r>
            <w:r w:rsidR="00E64EE0">
              <w:t xml:space="preserve"> because of </w:t>
            </w:r>
            <w:r w:rsidR="00E64EE0">
              <w:lastRenderedPageBreak/>
              <w:t>h</w:t>
            </w:r>
            <w:r>
              <w:t xml:space="preserve">uge storage cost at </w:t>
            </w:r>
            <w:r w:rsidR="00E64EE0">
              <w:t>HIS but some R</w:t>
            </w:r>
            <w:r>
              <w:t>MS refuse</w:t>
            </w:r>
            <w:r w:rsidR="00E64EE0">
              <w:t>d</w:t>
            </w:r>
            <w:r>
              <w:t xml:space="preserve"> bigger quantities. </w:t>
            </w:r>
          </w:p>
          <w:p w:rsidR="00D8113F" w:rsidRPr="001571F6" w:rsidRDefault="00D8113F" w:rsidP="00E64EE0">
            <w:pPr>
              <w:pStyle w:val="ListParagraph"/>
              <w:spacing w:before="120"/>
              <w:ind w:left="0"/>
              <w:contextualSpacing w:val="0"/>
            </w:pPr>
            <w:r>
              <w:t>Scheduled distribution was delayed. Just finalized last week</w:t>
            </w:r>
            <w:r w:rsidR="00E64EE0">
              <w:t xml:space="preserve"> – Jan stock report does not represent current stock situation</w:t>
            </w:r>
            <w:r>
              <w:t>. Next one: E/March</w:t>
            </w:r>
            <w:r w:rsidR="001F0A2C">
              <w:t xml:space="preserve">. </w:t>
            </w:r>
            <w:r w:rsidR="00E64EE0">
              <w:t>2017</w:t>
            </w:r>
            <w:r w:rsidR="001F0A2C">
              <w:t xml:space="preserve"> five emergency distributions. </w:t>
            </w:r>
            <w:r w:rsidR="00E64EE0">
              <w:t xml:space="preserve">Question why RMS tend to have stock levels of less than 3 </w:t>
            </w:r>
            <w:proofErr w:type="spellStart"/>
            <w:r w:rsidR="00E64EE0">
              <w:t>MoS</w:t>
            </w:r>
            <w:proofErr w:type="spellEnd"/>
            <w:r w:rsidR="00E64EE0">
              <w:t xml:space="preserve"> in weeks before next scheduled delivery: </w:t>
            </w:r>
            <w:r w:rsidR="001F0A2C">
              <w:t xml:space="preserve">RMS can always request what they need. There </w:t>
            </w:r>
            <w:r w:rsidR="00E64EE0">
              <w:t>are</w:t>
            </w:r>
            <w:r w:rsidR="001F0A2C">
              <w:t xml:space="preserve"> a guidelines for requisitions but </w:t>
            </w:r>
            <w:r w:rsidR="00E64EE0">
              <w:t>they are</w:t>
            </w:r>
            <w:r w:rsidR="001F0A2C">
              <w:t xml:space="preserve"> not binding. RMS may request what they really need. </w:t>
            </w:r>
          </w:p>
        </w:tc>
      </w:tr>
    </w:tbl>
    <w:p w:rsidR="00F957F5" w:rsidRDefault="00F957F5" w:rsidP="00FC72F1">
      <w:pPr>
        <w:pStyle w:val="ListParagraph"/>
        <w:numPr>
          <w:ilvl w:val="0"/>
          <w:numId w:val="2"/>
        </w:numPr>
        <w:spacing w:before="360" w:after="120"/>
        <w:ind w:left="357" w:hanging="357"/>
        <w:contextualSpacing w:val="0"/>
        <w:jc w:val="both"/>
        <w:rPr>
          <w:b/>
        </w:rPr>
      </w:pPr>
      <w:r w:rsidRPr="00F13BBA">
        <w:rPr>
          <w:b/>
        </w:rPr>
        <w:lastRenderedPageBreak/>
        <w:t>Programmatic Indicators:</w:t>
      </w:r>
      <w:r w:rsidR="005E3C41">
        <w:rPr>
          <w:b/>
        </w:rPr>
        <w:t xml:space="preserve"> </w:t>
      </w:r>
    </w:p>
    <w:tbl>
      <w:tblPr>
        <w:tblStyle w:val="TableGrid"/>
        <w:tblW w:w="0" w:type="auto"/>
        <w:tblInd w:w="357" w:type="dxa"/>
        <w:tblLook w:val="04A0" w:firstRow="1" w:lastRow="0" w:firstColumn="1" w:lastColumn="0" w:noHBand="0" w:noVBand="1"/>
      </w:tblPr>
      <w:tblGrid>
        <w:gridCol w:w="1090"/>
        <w:gridCol w:w="2685"/>
        <w:gridCol w:w="5818"/>
      </w:tblGrid>
      <w:tr w:rsidR="00DD716E" w:rsidTr="004116E9">
        <w:tc>
          <w:tcPr>
            <w:tcW w:w="1090" w:type="dxa"/>
          </w:tcPr>
          <w:p w:rsidR="00DD716E" w:rsidRDefault="00DD716E" w:rsidP="00693B59">
            <w:pPr>
              <w:pStyle w:val="ListParagraph"/>
              <w:spacing w:before="120"/>
              <w:ind w:left="0"/>
              <w:contextualSpacing w:val="0"/>
              <w:jc w:val="both"/>
              <w:rPr>
                <w:b/>
              </w:rPr>
            </w:pPr>
            <w:r>
              <w:rPr>
                <w:b/>
              </w:rPr>
              <w:t>Indicator</w:t>
            </w:r>
          </w:p>
        </w:tc>
        <w:tc>
          <w:tcPr>
            <w:tcW w:w="2685" w:type="dxa"/>
          </w:tcPr>
          <w:p w:rsidR="00DD716E" w:rsidRDefault="00DD716E" w:rsidP="00693B59">
            <w:pPr>
              <w:pStyle w:val="ListParagraph"/>
              <w:spacing w:before="120"/>
              <w:ind w:left="0"/>
              <w:contextualSpacing w:val="0"/>
              <w:jc w:val="both"/>
              <w:rPr>
                <w:b/>
              </w:rPr>
            </w:pPr>
            <w:r>
              <w:rPr>
                <w:b/>
              </w:rPr>
              <w:t xml:space="preserve">Observation  </w:t>
            </w:r>
          </w:p>
        </w:tc>
        <w:tc>
          <w:tcPr>
            <w:tcW w:w="5818" w:type="dxa"/>
          </w:tcPr>
          <w:p w:rsidR="00DD716E" w:rsidRDefault="00DD716E" w:rsidP="00693B59">
            <w:pPr>
              <w:pStyle w:val="ListParagraph"/>
              <w:spacing w:before="120"/>
              <w:ind w:left="0"/>
              <w:contextualSpacing w:val="0"/>
              <w:jc w:val="both"/>
              <w:rPr>
                <w:b/>
              </w:rPr>
            </w:pPr>
            <w:r>
              <w:rPr>
                <w:b/>
              </w:rPr>
              <w:t xml:space="preserve">Answer / Decision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on ART</w:t>
            </w:r>
          </w:p>
        </w:tc>
        <w:tc>
          <w:tcPr>
            <w:tcW w:w="2685" w:type="dxa"/>
          </w:tcPr>
          <w:p w:rsidR="00A3129F" w:rsidRDefault="00A3129F" w:rsidP="00693B59">
            <w:pPr>
              <w:pStyle w:val="ListParagraph"/>
              <w:spacing w:before="120"/>
              <w:ind w:left="34"/>
            </w:pPr>
            <w:r>
              <w:t xml:space="preserve">125,667 vs target 140,084 </w:t>
            </w:r>
            <w:r w:rsidR="00A62F24">
              <w:t>= 90%</w:t>
            </w:r>
            <w:r w:rsidR="004E5BE2">
              <w:t>,</w:t>
            </w:r>
            <w:r w:rsidR="00A62F24">
              <w:t xml:space="preserve"> </w:t>
            </w:r>
            <w:r w:rsidR="004E5BE2">
              <w:t>only 3820 enrolled in Q4 in spite of nationwide test &amp; treat</w:t>
            </w:r>
            <w:r w:rsidR="00487715">
              <w:t>, NACP response in Nov: Marvelous improvement expected in Q4</w:t>
            </w:r>
          </w:p>
          <w:p w:rsidR="0081758F" w:rsidRDefault="0081758F" w:rsidP="00693B59">
            <w:pPr>
              <w:pStyle w:val="ListParagraph"/>
              <w:spacing w:before="120"/>
              <w:ind w:left="34"/>
            </w:pPr>
          </w:p>
          <w:p w:rsidR="0081758F" w:rsidRDefault="0081758F" w:rsidP="00693B59">
            <w:pPr>
              <w:pStyle w:val="ListParagraph"/>
              <w:spacing w:before="120"/>
              <w:ind w:left="34"/>
            </w:pPr>
            <w:r>
              <w:t>Are those results adjusted for LTFU?</w:t>
            </w:r>
          </w:p>
          <w:p w:rsidR="00A3129F" w:rsidRDefault="00A3129F" w:rsidP="00693B59">
            <w:pPr>
              <w:pStyle w:val="ListParagraph"/>
              <w:spacing w:before="120"/>
              <w:ind w:left="34"/>
            </w:pPr>
          </w:p>
          <w:p w:rsidR="000E205E" w:rsidRPr="001571F6" w:rsidRDefault="00A3129F" w:rsidP="00E64EE0">
            <w:pPr>
              <w:pStyle w:val="ListParagraph"/>
              <w:spacing w:before="120"/>
              <w:ind w:left="34"/>
            </w:pPr>
            <w:r>
              <w:t>Status quo e-tracker implementation, resolution of problems with e-tracker</w:t>
            </w:r>
            <w:r w:rsidR="00E64EE0">
              <w:t>, what happened to discussion of proposed mass communication?</w:t>
            </w:r>
          </w:p>
        </w:tc>
        <w:tc>
          <w:tcPr>
            <w:tcW w:w="5818" w:type="dxa"/>
          </w:tcPr>
          <w:p w:rsidR="00DD716E" w:rsidRDefault="005857DE" w:rsidP="00E64EE0">
            <w:pPr>
              <w:pStyle w:val="ListParagraph"/>
              <w:spacing w:before="120"/>
              <w:ind w:left="0"/>
              <w:contextualSpacing w:val="0"/>
            </w:pPr>
            <w:r>
              <w:t>Not yet adjusted for LTFU. Data cleaning exercise in 2015</w:t>
            </w:r>
            <w:r w:rsidR="00E64EE0">
              <w:t xml:space="preserve"> </w:t>
            </w:r>
            <w:r>
              <w:t xml:space="preserve"> </w:t>
            </w:r>
          </w:p>
          <w:p w:rsidR="00E64EE0" w:rsidRDefault="00E64EE0" w:rsidP="00E64EE0">
            <w:pPr>
              <w:pStyle w:val="ListParagraph"/>
              <w:spacing w:before="120"/>
              <w:ind w:left="0"/>
              <w:contextualSpacing w:val="0"/>
            </w:pPr>
          </w:p>
          <w:p w:rsidR="00E64EE0" w:rsidRDefault="00E64EE0" w:rsidP="00E64EE0">
            <w:pPr>
              <w:jc w:val="both"/>
            </w:pPr>
            <w:r w:rsidRPr="00E64EE0">
              <w:rPr>
                <w:b/>
              </w:rPr>
              <w:t>Proposed discussion of mass communication on nation-wide availability of test &amp; treat, promotion of PMTCT and EID with GAC/NAP+</w:t>
            </w:r>
            <w:r>
              <w:t xml:space="preserve">: Challenge was presented at review meeting, NACP specific deliberations with stakeholders. &gt;&gt; </w:t>
            </w:r>
            <w:proofErr w:type="gramStart"/>
            <w:r>
              <w:t>all</w:t>
            </w:r>
            <w:proofErr w:type="gramEnd"/>
            <w:r>
              <w:t xml:space="preserve"> organizations are informed. Mass communication is not a mandate of NACP.</w:t>
            </w:r>
            <w:r w:rsidRPr="00B351BD">
              <w:t xml:space="preserve"> </w:t>
            </w:r>
            <w:r>
              <w:t xml:space="preserve">GAC needs to be in charge! Suggestion to prepare a fact sheet for NAP+ with key messages to bring across. </w:t>
            </w:r>
          </w:p>
          <w:p w:rsidR="00E64EE0" w:rsidRPr="001571F6" w:rsidRDefault="00E64EE0" w:rsidP="00E64EE0">
            <w:pPr>
              <w:pStyle w:val="ListParagraph"/>
              <w:spacing w:before="120"/>
              <w:ind w:left="0"/>
              <w:contextualSpacing w:val="0"/>
            </w:pP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xml:space="preserve">ART </w:t>
            </w:r>
            <w:r w:rsidRPr="003D464B">
              <w:rPr>
                <w:b/>
              </w:rPr>
              <w:t>pregnant women</w:t>
            </w:r>
          </w:p>
        </w:tc>
        <w:tc>
          <w:tcPr>
            <w:tcW w:w="2685" w:type="dxa"/>
          </w:tcPr>
          <w:p w:rsidR="00D52C2C" w:rsidRDefault="00A62F24" w:rsidP="00A62F24">
            <w:pPr>
              <w:pStyle w:val="ListParagraph"/>
              <w:spacing w:before="120"/>
              <w:ind w:left="34"/>
            </w:pPr>
            <w:r>
              <w:t xml:space="preserve">63%, Q4 only: 75% = best result across NFM. Last semester much improved enrollment rates of those tested positive. </w:t>
            </w:r>
            <w:r w:rsidR="005259FD">
              <w:t>During NFM strong variation of % enrolled in treatment. Average across NFM = 58%</w:t>
            </w:r>
          </w:p>
          <w:p w:rsidR="00664E22" w:rsidRPr="001571F6" w:rsidRDefault="00664E22" w:rsidP="00A62F24">
            <w:pPr>
              <w:pStyle w:val="ListParagraph"/>
              <w:spacing w:before="120"/>
              <w:ind w:left="34"/>
            </w:pPr>
            <w:r>
              <w:t xml:space="preserve">Way forward for higher enrollment rates? </w:t>
            </w:r>
          </w:p>
        </w:tc>
        <w:tc>
          <w:tcPr>
            <w:tcW w:w="5818" w:type="dxa"/>
          </w:tcPr>
          <w:p w:rsidR="002E53D4" w:rsidRPr="001571F6" w:rsidRDefault="002E53D4" w:rsidP="00CB5D8E">
            <w:pPr>
              <w:pStyle w:val="ListParagraph"/>
              <w:spacing w:before="120"/>
              <w:ind w:left="0"/>
              <w:contextualSpacing w:val="0"/>
            </w:pP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EID</w:t>
            </w:r>
          </w:p>
        </w:tc>
        <w:tc>
          <w:tcPr>
            <w:tcW w:w="2685" w:type="dxa"/>
          </w:tcPr>
          <w:p w:rsidR="00DD716E" w:rsidRPr="001571F6" w:rsidRDefault="00664E22" w:rsidP="00693B59">
            <w:pPr>
              <w:pStyle w:val="ListParagraph"/>
              <w:spacing w:before="120"/>
              <w:ind w:left="34"/>
            </w:pPr>
            <w:r>
              <w:t xml:space="preserve">Cum 48%, Q4 alone: 57%, in 2017 about 50% of babies of tested HIV+ mothers missed. </w:t>
            </w:r>
          </w:p>
        </w:tc>
        <w:tc>
          <w:tcPr>
            <w:tcW w:w="5818" w:type="dxa"/>
          </w:tcPr>
          <w:p w:rsidR="00DD716E" w:rsidRPr="001571F6" w:rsidRDefault="00DD716E" w:rsidP="00693B59">
            <w:pPr>
              <w:pStyle w:val="ListParagraph"/>
              <w:spacing w:before="120"/>
              <w:ind w:left="0"/>
              <w:contextualSpacing w:val="0"/>
            </w:pPr>
          </w:p>
        </w:tc>
      </w:tr>
      <w:tr w:rsidR="00DD716E" w:rsidTr="004116E9">
        <w:trPr>
          <w:trHeight w:val="558"/>
        </w:trPr>
        <w:tc>
          <w:tcPr>
            <w:tcW w:w="1090" w:type="dxa"/>
          </w:tcPr>
          <w:p w:rsidR="00DD716E" w:rsidRDefault="00DD716E" w:rsidP="00DD716E">
            <w:pPr>
              <w:pStyle w:val="ListParagraph"/>
              <w:spacing w:before="120"/>
              <w:ind w:left="0"/>
              <w:contextualSpacing w:val="0"/>
              <w:rPr>
                <w:b/>
              </w:rPr>
            </w:pPr>
            <w:r w:rsidRPr="00F44C73">
              <w:rPr>
                <w:b/>
              </w:rPr>
              <w:lastRenderedPageBreak/>
              <w:t>HT</w:t>
            </w:r>
            <w:r>
              <w:rPr>
                <w:b/>
              </w:rPr>
              <w:t>S</w:t>
            </w:r>
            <w:r w:rsidRPr="00F44C73">
              <w:rPr>
                <w:b/>
              </w:rPr>
              <w:t xml:space="preserve"> pregnant</w:t>
            </w:r>
            <w:r>
              <w:t xml:space="preserve"> </w:t>
            </w:r>
            <w:r w:rsidRPr="003D464B">
              <w:rPr>
                <w:b/>
              </w:rPr>
              <w:t>women</w:t>
            </w:r>
          </w:p>
        </w:tc>
        <w:tc>
          <w:tcPr>
            <w:tcW w:w="2685" w:type="dxa"/>
          </w:tcPr>
          <w:p w:rsidR="00DD716E" w:rsidRPr="001571F6" w:rsidRDefault="00664E22" w:rsidP="00FD2F8D">
            <w:pPr>
              <w:pStyle w:val="ListParagraph"/>
              <w:spacing w:before="120"/>
              <w:ind w:left="34"/>
            </w:pPr>
            <w:r>
              <w:t xml:space="preserve">Cum 88%, Q4 alone: 95%. </w:t>
            </w:r>
            <w:r w:rsidR="005259FD">
              <w:t>About 2</w:t>
            </w:r>
            <w:r w:rsidR="00FD2F8D">
              <w:t>0</w:t>
            </w:r>
            <w:r w:rsidR="005259FD">
              <w:t>% of the women either missed or not reported</w:t>
            </w:r>
            <w:r w:rsidR="00451475">
              <w:t xml:space="preserve"> (</w:t>
            </w:r>
            <w:r w:rsidR="00FD2F8D">
              <w:t>820,191 vs 1.1m expected pregnant women</w:t>
            </w:r>
            <w:r w:rsidR="00451475">
              <w:t>)</w:t>
            </w:r>
            <w:r w:rsidR="005259FD">
              <w:t>.</w:t>
            </w:r>
            <w:r w:rsidR="004E68C1">
              <w:t xml:space="preserve"> Quarterly achievement rate for the first time &gt;90% (95%)</w:t>
            </w:r>
            <w:r w:rsidR="005259FD">
              <w:t xml:space="preserve"> </w:t>
            </w:r>
          </w:p>
        </w:tc>
        <w:tc>
          <w:tcPr>
            <w:tcW w:w="5818" w:type="dxa"/>
          </w:tcPr>
          <w:p w:rsidR="00DD716E" w:rsidRPr="001571F6" w:rsidRDefault="00DD716E" w:rsidP="00693B59">
            <w:pPr>
              <w:pStyle w:val="ListParagraph"/>
              <w:spacing w:before="120"/>
              <w:ind w:left="0"/>
              <w:contextualSpacing w:val="0"/>
            </w:pPr>
          </w:p>
        </w:tc>
      </w:tr>
      <w:tr w:rsidR="00DD716E" w:rsidTr="004116E9">
        <w:tc>
          <w:tcPr>
            <w:tcW w:w="1090" w:type="dxa"/>
          </w:tcPr>
          <w:p w:rsidR="00DD716E" w:rsidRDefault="00DD716E" w:rsidP="00DD716E">
            <w:pPr>
              <w:pStyle w:val="ListParagraph"/>
              <w:spacing w:before="120"/>
              <w:ind w:left="0"/>
              <w:contextualSpacing w:val="0"/>
              <w:rPr>
                <w:b/>
              </w:rPr>
            </w:pPr>
            <w:r>
              <w:rPr>
                <w:b/>
              </w:rPr>
              <w:t>HTS</w:t>
            </w:r>
          </w:p>
        </w:tc>
        <w:tc>
          <w:tcPr>
            <w:tcW w:w="2685" w:type="dxa"/>
          </w:tcPr>
          <w:p w:rsidR="00DD716E" w:rsidRPr="001571F6" w:rsidRDefault="00055371" w:rsidP="00B013B0">
            <w:pPr>
              <w:pStyle w:val="ListParagraph"/>
              <w:spacing w:before="120"/>
              <w:ind w:left="0"/>
              <w:contextualSpacing w:val="0"/>
            </w:pPr>
            <w:r>
              <w:t>Cum 48%, Q4: 57%</w:t>
            </w:r>
            <w:r w:rsidR="004E5BE2">
              <w:t xml:space="preserve">; 25% increase in Q4 compared to otherwise flat results in 2017. </w:t>
            </w:r>
            <w:r w:rsidR="00203B69">
              <w:t>HTC program with inadequate results. Proposal to engage civil society (JSI) much stronger</w:t>
            </w:r>
            <w:r w:rsidR="00AF7908">
              <w:t xml:space="preserve">. </w:t>
            </w:r>
          </w:p>
        </w:tc>
        <w:tc>
          <w:tcPr>
            <w:tcW w:w="5818" w:type="dxa"/>
          </w:tcPr>
          <w:p w:rsidR="00DD716E" w:rsidRPr="001571F6" w:rsidRDefault="00203B69" w:rsidP="00DA4FDC">
            <w:pPr>
              <w:pStyle w:val="ListParagraph"/>
              <w:spacing w:before="120"/>
              <w:ind w:left="0"/>
              <w:contextualSpacing w:val="0"/>
            </w:pPr>
            <w:r>
              <w:t xml:space="preserve">KYS campaigns needed but comes at a cost. Low couple testing = low: encouraged through fast consultation. Research being conducted on barriers of couples testing. </w:t>
            </w:r>
            <w:r w:rsidR="00DA4FDC">
              <w:t xml:space="preserve">More non-pregnant women (271479) than men (179677) tested in 2017. </w:t>
            </w:r>
            <w:r>
              <w:t>Important to</w:t>
            </w:r>
            <w:r w:rsidR="00B013B0">
              <w:t xml:space="preserve"> </w:t>
            </w:r>
            <w:r>
              <w:t>reach more men</w:t>
            </w:r>
            <w:r w:rsidR="00DA4FDC">
              <w:t>.</w:t>
            </w:r>
            <w:r w:rsidR="00B013B0">
              <w:t xml:space="preserve"> </w:t>
            </w:r>
            <w:r w:rsidR="00E450AB">
              <w:t xml:space="preserve">Systems in place to encourage disclosure: More work must be done to enhance education. </w:t>
            </w:r>
          </w:p>
        </w:tc>
      </w:tr>
      <w:tr w:rsidR="00DD716E" w:rsidTr="004116E9">
        <w:tc>
          <w:tcPr>
            <w:tcW w:w="1090" w:type="dxa"/>
          </w:tcPr>
          <w:p w:rsidR="00DD716E" w:rsidRDefault="00DD716E" w:rsidP="00693B59">
            <w:pPr>
              <w:pStyle w:val="ListParagraph"/>
              <w:spacing w:before="120"/>
              <w:ind w:left="0"/>
              <w:contextualSpacing w:val="0"/>
              <w:rPr>
                <w:b/>
              </w:rPr>
            </w:pPr>
            <w:r>
              <w:rPr>
                <w:b/>
              </w:rPr>
              <w:t>TB screening</w:t>
            </w:r>
          </w:p>
        </w:tc>
        <w:tc>
          <w:tcPr>
            <w:tcW w:w="2685" w:type="dxa"/>
          </w:tcPr>
          <w:p w:rsidR="00DD716E" w:rsidRPr="001571F6" w:rsidRDefault="00055371" w:rsidP="00693B59">
            <w:pPr>
              <w:pStyle w:val="ListParagraph"/>
              <w:spacing w:before="120"/>
              <w:ind w:left="0"/>
              <w:contextualSpacing w:val="0"/>
            </w:pPr>
            <w:r>
              <w:t>Significant overachievement (517%) due to double counting but might mask significant variations among facilities</w:t>
            </w:r>
          </w:p>
        </w:tc>
        <w:tc>
          <w:tcPr>
            <w:tcW w:w="5818" w:type="dxa"/>
          </w:tcPr>
          <w:p w:rsidR="00DD716E" w:rsidRPr="001571F6" w:rsidRDefault="00DD716E" w:rsidP="00693B59">
            <w:pPr>
              <w:pStyle w:val="ListParagraph"/>
              <w:spacing w:before="120"/>
              <w:ind w:left="0"/>
              <w:contextualSpacing w:val="0"/>
            </w:pPr>
          </w:p>
        </w:tc>
      </w:tr>
      <w:tr w:rsidR="00E450AB" w:rsidTr="004116E9">
        <w:tc>
          <w:tcPr>
            <w:tcW w:w="1090" w:type="dxa"/>
          </w:tcPr>
          <w:p w:rsidR="00E450AB" w:rsidRDefault="00E450AB" w:rsidP="00693B59">
            <w:pPr>
              <w:pStyle w:val="ListParagraph"/>
              <w:spacing w:before="120"/>
              <w:ind w:left="0"/>
              <w:contextualSpacing w:val="0"/>
              <w:rPr>
                <w:b/>
              </w:rPr>
            </w:pPr>
            <w:r>
              <w:rPr>
                <w:b/>
              </w:rPr>
              <w:t>Add</w:t>
            </w:r>
          </w:p>
        </w:tc>
        <w:tc>
          <w:tcPr>
            <w:tcW w:w="2685" w:type="dxa"/>
          </w:tcPr>
          <w:p w:rsidR="00E450AB" w:rsidRDefault="00E450AB" w:rsidP="00693B59">
            <w:pPr>
              <w:pStyle w:val="ListParagraph"/>
              <w:spacing w:before="120"/>
              <w:ind w:left="0"/>
              <w:contextualSpacing w:val="0"/>
            </w:pPr>
            <w:r>
              <w:t>OC statement: HIV prevention has been neglected during the past 6 years, esp. general population</w:t>
            </w:r>
          </w:p>
        </w:tc>
        <w:tc>
          <w:tcPr>
            <w:tcW w:w="5818" w:type="dxa"/>
          </w:tcPr>
          <w:p w:rsidR="00E450AB" w:rsidRPr="001571F6" w:rsidRDefault="00E85B28" w:rsidP="00E85B28">
            <w:pPr>
              <w:pStyle w:val="ListParagraph"/>
              <w:spacing w:before="120"/>
              <w:ind w:left="0"/>
              <w:contextualSpacing w:val="0"/>
            </w:pPr>
            <w:r>
              <w:t>Suggestion OC: use savings to put it in prevention</w:t>
            </w:r>
          </w:p>
        </w:tc>
      </w:tr>
    </w:tbl>
    <w:p w:rsidR="00167B82" w:rsidRDefault="00167B82" w:rsidP="00FC72F1">
      <w:pPr>
        <w:pStyle w:val="ListParagraph"/>
        <w:numPr>
          <w:ilvl w:val="0"/>
          <w:numId w:val="2"/>
        </w:numPr>
        <w:spacing w:before="360" w:after="120"/>
        <w:ind w:left="357" w:hanging="357"/>
        <w:contextualSpacing w:val="0"/>
        <w:jc w:val="both"/>
        <w:rPr>
          <w:b/>
        </w:rPr>
      </w:pPr>
      <w:r>
        <w:rPr>
          <w:b/>
        </w:rPr>
        <w:t>Recommendations:</w:t>
      </w:r>
    </w:p>
    <w:p w:rsidR="00412F3B" w:rsidRDefault="00566183" w:rsidP="00FC72F1">
      <w:pPr>
        <w:pStyle w:val="ListParagraph"/>
        <w:numPr>
          <w:ilvl w:val="0"/>
          <w:numId w:val="8"/>
        </w:numPr>
        <w:spacing w:after="0"/>
        <w:contextualSpacing w:val="0"/>
        <w:jc w:val="both"/>
      </w:pPr>
      <w:r>
        <w:t xml:space="preserve">Liaise with GHS/FHD to scale up ANC coverage to previous levels </w:t>
      </w:r>
    </w:p>
    <w:p w:rsidR="002E53D4" w:rsidRDefault="00124406" w:rsidP="00FC72F1">
      <w:pPr>
        <w:pStyle w:val="ListParagraph"/>
        <w:numPr>
          <w:ilvl w:val="0"/>
          <w:numId w:val="8"/>
        </w:numPr>
        <w:spacing w:after="0"/>
        <w:contextualSpacing w:val="0"/>
        <w:jc w:val="both"/>
      </w:pPr>
      <w:r>
        <w:t>Review the direct comparison of pregnant women tested positive and their enrollment (compared to the generic GF target) to have a more accurate picture of the regional performance</w:t>
      </w:r>
    </w:p>
    <w:p w:rsidR="00124406" w:rsidRDefault="005021B1" w:rsidP="00FC72F1">
      <w:pPr>
        <w:pStyle w:val="ListParagraph"/>
        <w:numPr>
          <w:ilvl w:val="0"/>
          <w:numId w:val="8"/>
        </w:numPr>
        <w:spacing w:after="0"/>
        <w:contextualSpacing w:val="0"/>
        <w:jc w:val="both"/>
      </w:pPr>
      <w:r>
        <w:t>Ensure adequate availability of ANC registers</w:t>
      </w:r>
    </w:p>
    <w:p w:rsidR="005021B1" w:rsidRDefault="005021B1" w:rsidP="00FC72F1">
      <w:pPr>
        <w:pStyle w:val="ListParagraph"/>
        <w:numPr>
          <w:ilvl w:val="0"/>
          <w:numId w:val="8"/>
        </w:numPr>
        <w:spacing w:after="0"/>
        <w:contextualSpacing w:val="0"/>
        <w:jc w:val="both"/>
      </w:pPr>
      <w:r>
        <w:t>Ensure that national guidelines are adequately communicated by the RHDs to DHDs and SDPs</w:t>
      </w:r>
    </w:p>
    <w:p w:rsidR="00F957F5" w:rsidRPr="00FA7859" w:rsidRDefault="005021B1" w:rsidP="00FA7859">
      <w:pPr>
        <w:pStyle w:val="ListParagraph"/>
        <w:numPr>
          <w:ilvl w:val="0"/>
          <w:numId w:val="8"/>
        </w:numPr>
        <w:spacing w:after="0"/>
        <w:contextualSpacing w:val="0"/>
        <w:jc w:val="both"/>
      </w:pPr>
      <w:r>
        <w:t xml:space="preserve">CCM to follow up with GAC and NAP+ on mass communication on </w:t>
      </w:r>
      <w:proofErr w:type="spellStart"/>
      <w:r>
        <w:t>test&amp;treat</w:t>
      </w:r>
      <w:proofErr w:type="spellEnd"/>
      <w:r>
        <w:t>, PMTCT and EID</w:t>
      </w:r>
    </w:p>
    <w:p w:rsidR="00F957F5" w:rsidRPr="007D3EA9" w:rsidRDefault="00F957F5"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t>N</w:t>
      </w:r>
      <w:r w:rsidR="00B67870" w:rsidRPr="007D3EA9">
        <w:rPr>
          <w:b/>
          <w:color w:val="C00000"/>
          <w:sz w:val="24"/>
          <w:szCs w:val="24"/>
        </w:rPr>
        <w:t>T</w:t>
      </w:r>
      <w:r w:rsidRPr="007D3EA9">
        <w:rPr>
          <w:b/>
          <w:color w:val="C00000"/>
          <w:sz w:val="24"/>
          <w:szCs w:val="24"/>
        </w:rPr>
        <w:t>P Dash Board</w:t>
      </w:r>
    </w:p>
    <w:p w:rsidR="008350BF" w:rsidRDefault="008350BF" w:rsidP="00FC72F1">
      <w:pPr>
        <w:pStyle w:val="ListParagraph"/>
        <w:numPr>
          <w:ilvl w:val="0"/>
          <w:numId w:val="3"/>
        </w:numPr>
        <w:spacing w:after="120"/>
        <w:ind w:left="357" w:hanging="357"/>
        <w:contextualSpacing w:val="0"/>
        <w:jc w:val="both"/>
        <w:rPr>
          <w:b/>
        </w:rPr>
      </w:pPr>
      <w:r>
        <w:rPr>
          <w:b/>
        </w:rPr>
        <w:t>Follow up:</w:t>
      </w:r>
    </w:p>
    <w:p w:rsidR="00476E33" w:rsidRDefault="00C67470" w:rsidP="00FC72F1">
      <w:pPr>
        <w:pStyle w:val="ListParagraph"/>
        <w:numPr>
          <w:ilvl w:val="0"/>
          <w:numId w:val="12"/>
        </w:numPr>
        <w:spacing w:after="0"/>
        <w:contextualSpacing w:val="0"/>
        <w:jc w:val="both"/>
      </w:pPr>
      <w:r w:rsidRPr="00C67470">
        <w:rPr>
          <w:b/>
        </w:rPr>
        <w:t>MDR-TB facility:</w:t>
      </w:r>
      <w:r>
        <w:t xml:space="preserve"> GIZ initiated an Ebola clinic in Cape Coast or Takoradi/Secondi that was not handed over to GHS since it was not finalized. Annekatrin will get more information for NTP to decide if this facility could be used for MDR-TB clients </w:t>
      </w:r>
    </w:p>
    <w:p w:rsidR="00412F3B" w:rsidRDefault="00D3369F" w:rsidP="00FC72F1">
      <w:pPr>
        <w:pStyle w:val="ListParagraph"/>
        <w:numPr>
          <w:ilvl w:val="0"/>
          <w:numId w:val="12"/>
        </w:numPr>
        <w:spacing w:after="0"/>
        <w:contextualSpacing w:val="0"/>
        <w:jc w:val="both"/>
      </w:pPr>
      <w:r w:rsidRPr="00C67470">
        <w:rPr>
          <w:b/>
        </w:rPr>
        <w:t>Clearance of sputum containers</w:t>
      </w:r>
      <w:r w:rsidR="005628F9" w:rsidRPr="00C67470">
        <w:rPr>
          <w:b/>
        </w:rPr>
        <w:t>:</w:t>
      </w:r>
      <w:r w:rsidR="005628F9">
        <w:t xml:space="preserve"> Friday: promise to clear by Monday but has not happened. MoH does not reply calls</w:t>
      </w:r>
      <w:r w:rsidR="00C67470">
        <w:t>, CCM promised to follow up</w:t>
      </w:r>
      <w:r w:rsidR="005628F9">
        <w:t xml:space="preserve"> </w:t>
      </w:r>
      <w:r w:rsidR="00F50173">
        <w:t xml:space="preserve"> </w:t>
      </w:r>
    </w:p>
    <w:p w:rsidR="00D3369F" w:rsidRDefault="00C67470" w:rsidP="00FC72F1">
      <w:pPr>
        <w:pStyle w:val="ListParagraph"/>
        <w:numPr>
          <w:ilvl w:val="0"/>
          <w:numId w:val="12"/>
        </w:numPr>
        <w:spacing w:after="0"/>
        <w:contextualSpacing w:val="0"/>
        <w:jc w:val="both"/>
      </w:pPr>
      <w:r w:rsidRPr="00C67470">
        <w:rPr>
          <w:b/>
        </w:rPr>
        <w:lastRenderedPageBreak/>
        <w:t>G</w:t>
      </w:r>
      <w:r w:rsidR="00D3369F" w:rsidRPr="00C67470">
        <w:rPr>
          <w:b/>
        </w:rPr>
        <w:t>eneral tax exemption</w:t>
      </w:r>
      <w:r w:rsidR="005628F9" w:rsidRPr="00C67470">
        <w:rPr>
          <w:b/>
        </w:rPr>
        <w:t>:</w:t>
      </w:r>
      <w:r w:rsidR="005628F9">
        <w:t xml:space="preserve"> to be presented at next cabinet meeting (last week)</w:t>
      </w:r>
      <w:r w:rsidR="00CB50BE">
        <w:t xml:space="preserve"> </w:t>
      </w:r>
      <w:r>
        <w:t>but no information on outcomes</w:t>
      </w:r>
      <w:r w:rsidR="00CB50BE">
        <w:t xml:space="preserve"> </w:t>
      </w:r>
    </w:p>
    <w:p w:rsidR="00112A3F" w:rsidRDefault="00C67470" w:rsidP="00FC72F1">
      <w:pPr>
        <w:pStyle w:val="ListParagraph"/>
        <w:numPr>
          <w:ilvl w:val="0"/>
          <w:numId w:val="16"/>
        </w:numPr>
        <w:spacing w:after="0"/>
        <w:jc w:val="both"/>
      </w:pPr>
      <w:r w:rsidRPr="00C67470">
        <w:rPr>
          <w:b/>
        </w:rPr>
        <w:t>P</w:t>
      </w:r>
      <w:r w:rsidR="00112A3F" w:rsidRPr="00C67470">
        <w:rPr>
          <w:b/>
        </w:rPr>
        <w:t>rison interventions:</w:t>
      </w:r>
      <w:r w:rsidR="00112A3F">
        <w:t xml:space="preserve"> </w:t>
      </w:r>
      <w:r w:rsidR="005628F9">
        <w:t>Discussion with Mathilda</w:t>
      </w:r>
      <w:r>
        <w:t xml:space="preserve"> of Prison Services</w:t>
      </w:r>
      <w:r w:rsidR="005628F9">
        <w:t>: NTP can’t do all 43 prisons. New grant: no budget initially. Need to make adjustments for prisons – plan to combine with small scale mining. Still at concept stage. Program will include HTS. More health staff at prisons</w:t>
      </w:r>
      <w:r>
        <w:t xml:space="preserve"> deployed</w:t>
      </w:r>
      <w:r w:rsidR="005628F9">
        <w:t>. R</w:t>
      </w:r>
      <w:r w:rsidR="006350A0">
        <w:t>e</w:t>
      </w:r>
      <w:r w:rsidR="005628F9">
        <w:t xml:space="preserve">gions shall train prison infirmaries to carry out interventions on their own.  </w:t>
      </w:r>
    </w:p>
    <w:p w:rsidR="00D3369F" w:rsidRDefault="00112A3F" w:rsidP="00FC72F1">
      <w:pPr>
        <w:pStyle w:val="ListParagraph"/>
        <w:numPr>
          <w:ilvl w:val="0"/>
          <w:numId w:val="16"/>
        </w:numPr>
        <w:spacing w:after="0"/>
        <w:jc w:val="both"/>
      </w:pPr>
      <w:r w:rsidRPr="00C67470">
        <w:rPr>
          <w:b/>
        </w:rPr>
        <w:t xml:space="preserve">Status quo </w:t>
      </w:r>
      <w:r w:rsidR="00D3369F" w:rsidRPr="00C67470">
        <w:rPr>
          <w:b/>
        </w:rPr>
        <w:t>E-tracker</w:t>
      </w:r>
      <w:r w:rsidRPr="00C67470">
        <w:rPr>
          <w:b/>
        </w:rPr>
        <w:t>, how to deal with online requirement</w:t>
      </w:r>
      <w:r w:rsidR="00D3369F" w:rsidRPr="00C67470">
        <w:rPr>
          <w:b/>
        </w:rPr>
        <w:t>:</w:t>
      </w:r>
      <w:r w:rsidR="00D3369F">
        <w:t xml:space="preserve"> </w:t>
      </w:r>
      <w:r w:rsidR="008A3B41">
        <w:t xml:space="preserve">Resources available at PPME to </w:t>
      </w:r>
      <w:r w:rsidR="00C67470">
        <w:t xml:space="preserve">provide tablets for </w:t>
      </w:r>
      <w:r w:rsidR="008A3B41">
        <w:t>the remaining 103 districts. NTP is looking for funding for training (not in NFM2 budget)</w:t>
      </w:r>
    </w:p>
    <w:p w:rsidR="00112A3F" w:rsidRDefault="00C67470" w:rsidP="00FC72F1">
      <w:pPr>
        <w:pStyle w:val="ListParagraph"/>
        <w:numPr>
          <w:ilvl w:val="0"/>
          <w:numId w:val="16"/>
        </w:numPr>
        <w:spacing w:after="0"/>
        <w:jc w:val="both"/>
      </w:pPr>
      <w:r w:rsidRPr="00C67470">
        <w:rPr>
          <w:b/>
        </w:rPr>
        <w:t>S</w:t>
      </w:r>
      <w:r w:rsidR="00112A3F" w:rsidRPr="00C67470">
        <w:rPr>
          <w:b/>
        </w:rPr>
        <w:t xml:space="preserve">hort term MDR-TB treatment schedule: </w:t>
      </w:r>
      <w:r w:rsidR="008A3B41">
        <w:t xml:space="preserve">Medicines have arrived in Feb. Training for all 10 regions (August) funded by Green Light Committee / WHO.  Plan: from March zonal reorientation. Plan to decentralize the commodities. </w:t>
      </w:r>
    </w:p>
    <w:p w:rsidR="00FA246F" w:rsidRDefault="00481F7F" w:rsidP="00480277">
      <w:pPr>
        <w:pStyle w:val="ListParagraph"/>
        <w:numPr>
          <w:ilvl w:val="0"/>
          <w:numId w:val="16"/>
        </w:numPr>
        <w:spacing w:after="0"/>
        <w:jc w:val="both"/>
      </w:pPr>
      <w:r w:rsidRPr="00480277">
        <w:rPr>
          <w:b/>
        </w:rPr>
        <w:t xml:space="preserve">Status quo mass communication on TB: </w:t>
      </w:r>
      <w:r w:rsidR="00303D6C">
        <w:t>World TB Day, recently meeting with press and TB ambassador. Press agreed to champion World TB day through print, TB and e-media and provide lots of media space across the year</w:t>
      </w:r>
      <w:r w:rsidR="00D14F02">
        <w:t xml:space="preserve">. Low case detection among children (diagnosed by pediatricians): discussion with </w:t>
      </w:r>
      <w:r w:rsidR="00480277">
        <w:t>P</w:t>
      </w:r>
      <w:r w:rsidR="00D14F02">
        <w:t xml:space="preserve">ediatric </w:t>
      </w:r>
      <w:r w:rsidR="00480277">
        <w:t>S</w:t>
      </w:r>
      <w:r w:rsidR="00D14F02">
        <w:t>ociety of Ghana to sensitize pediatricians. GAR annual review meeting finding</w:t>
      </w:r>
      <w:r w:rsidR="00D77CF2">
        <w:t>:</w:t>
      </w:r>
      <w:r w:rsidR="00D14F02">
        <w:t xml:space="preserve"> civil society</w:t>
      </w:r>
      <w:r w:rsidR="00D77CF2">
        <w:t xml:space="preserve"> not felt. Should really assist in addressing the gaps in case finding. Recommendation to STBP to register with RHDs.</w:t>
      </w:r>
    </w:p>
    <w:p w:rsidR="006664C0" w:rsidRDefault="006664C0" w:rsidP="006664C0">
      <w:pPr>
        <w:pStyle w:val="ListParagraph"/>
        <w:spacing w:after="0"/>
        <w:ind w:left="717"/>
        <w:jc w:val="both"/>
      </w:pPr>
    </w:p>
    <w:p w:rsidR="0092353F" w:rsidRDefault="006664C0" w:rsidP="00FC72F1">
      <w:pPr>
        <w:pStyle w:val="ListParagraph"/>
        <w:numPr>
          <w:ilvl w:val="0"/>
          <w:numId w:val="3"/>
        </w:numPr>
        <w:spacing w:after="120"/>
        <w:ind w:left="357" w:hanging="357"/>
        <w:contextualSpacing w:val="0"/>
        <w:jc w:val="both"/>
        <w:rPr>
          <w:b/>
        </w:rPr>
      </w:pPr>
      <w:r>
        <w:rPr>
          <w:b/>
        </w:rPr>
        <w:t>Site visit to BAR</w:t>
      </w:r>
      <w:r w:rsidR="00480277">
        <w:rPr>
          <w:b/>
        </w:rPr>
        <w:t xml:space="preserve"> </w:t>
      </w:r>
    </w:p>
    <w:p w:rsidR="00EF61E9" w:rsidRDefault="003E068B" w:rsidP="00FC72F1">
      <w:pPr>
        <w:pStyle w:val="ListParagraph"/>
        <w:numPr>
          <w:ilvl w:val="0"/>
          <w:numId w:val="16"/>
        </w:numPr>
        <w:spacing w:after="0"/>
        <w:jc w:val="both"/>
      </w:pPr>
      <w:r>
        <w:t xml:space="preserve">Time did not allow the discussion of the main findings. NTP received them in a subsequent email. </w:t>
      </w:r>
    </w:p>
    <w:p w:rsidR="006664C0" w:rsidRPr="006664C0" w:rsidRDefault="006664C0" w:rsidP="006664C0">
      <w:pPr>
        <w:pStyle w:val="ListParagraph"/>
        <w:spacing w:after="0"/>
        <w:ind w:left="717"/>
        <w:jc w:val="both"/>
      </w:pPr>
    </w:p>
    <w:p w:rsidR="00F957F5" w:rsidRDefault="00F957F5" w:rsidP="00FC72F1">
      <w:pPr>
        <w:pStyle w:val="ListParagraph"/>
        <w:numPr>
          <w:ilvl w:val="0"/>
          <w:numId w:val="3"/>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9C5CEA" w:rsidP="00D272AB">
            <w:pPr>
              <w:pStyle w:val="ListParagraph"/>
              <w:spacing w:before="120"/>
              <w:ind w:left="0"/>
              <w:contextualSpacing w:val="0"/>
            </w:pPr>
            <w:r>
              <w:t>7</w:t>
            </w:r>
            <w:r w:rsidR="00D272AB">
              <w:t>9</w:t>
            </w:r>
            <w:r>
              <w:t xml:space="preserve">%. </w:t>
            </w:r>
            <w:r w:rsidR="002652F1">
              <w:t>Big increase from 61% in Q3 but w</w:t>
            </w:r>
            <w:r>
              <w:t xml:space="preserve">hat happened to the statement in Nov that the final burn rate will be around 90%? </w:t>
            </w:r>
          </w:p>
        </w:tc>
        <w:tc>
          <w:tcPr>
            <w:tcW w:w="4710" w:type="dxa"/>
          </w:tcPr>
          <w:p w:rsidR="00F1000E" w:rsidRPr="001571F6" w:rsidRDefault="00D272AB" w:rsidP="007461FA">
            <w:pPr>
              <w:pStyle w:val="ListParagraph"/>
              <w:spacing w:before="120"/>
              <w:ind w:left="0"/>
              <w:contextualSpacing w:val="0"/>
              <w:jc w:val="both"/>
            </w:pPr>
            <w:r>
              <w:t xml:space="preserve">Cancellation of GeneXpert procurement.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SR</w:t>
            </w:r>
          </w:p>
        </w:tc>
        <w:tc>
          <w:tcPr>
            <w:tcW w:w="2977" w:type="dxa"/>
          </w:tcPr>
          <w:p w:rsidR="00F1000E" w:rsidRPr="001571F6" w:rsidRDefault="009C5CEA" w:rsidP="007461FA">
            <w:pPr>
              <w:pStyle w:val="ListParagraph"/>
              <w:spacing w:before="120"/>
              <w:ind w:left="0"/>
              <w:contextualSpacing w:val="0"/>
            </w:pPr>
            <w:r>
              <w:t xml:space="preserve">Have all regions really retired exactly 100% of their advances? </w:t>
            </w:r>
          </w:p>
        </w:tc>
        <w:tc>
          <w:tcPr>
            <w:tcW w:w="4710" w:type="dxa"/>
          </w:tcPr>
          <w:p w:rsidR="00F1000E" w:rsidRPr="001571F6" w:rsidRDefault="00F1000E" w:rsidP="003A5E41">
            <w:pPr>
              <w:pStyle w:val="ListParagraph"/>
              <w:spacing w:before="120"/>
              <w:ind w:left="0"/>
              <w:contextualSpacing w:val="0"/>
              <w:jc w:val="both"/>
            </w:pPr>
          </w:p>
        </w:tc>
      </w:tr>
    </w:tbl>
    <w:p w:rsidR="00F1000E" w:rsidRPr="00962157" w:rsidRDefault="00F1000E" w:rsidP="00F1000E">
      <w:pPr>
        <w:pStyle w:val="ListParagraph"/>
        <w:spacing w:after="120"/>
        <w:ind w:left="357"/>
        <w:contextualSpacing w:val="0"/>
        <w:jc w:val="both"/>
        <w:rPr>
          <w:b/>
        </w:rPr>
      </w:pPr>
    </w:p>
    <w:p w:rsidR="00F957F5" w:rsidRDefault="00F957F5" w:rsidP="00FC72F1">
      <w:pPr>
        <w:pStyle w:val="ListParagraph"/>
        <w:numPr>
          <w:ilvl w:val="0"/>
          <w:numId w:val="3"/>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404"/>
        <w:gridCol w:w="2613"/>
        <w:gridCol w:w="5576"/>
      </w:tblGrid>
      <w:tr w:rsidR="005617EC" w:rsidTr="005617EC">
        <w:tc>
          <w:tcPr>
            <w:tcW w:w="1404" w:type="dxa"/>
          </w:tcPr>
          <w:p w:rsidR="005617EC" w:rsidRDefault="005617EC" w:rsidP="00693B59">
            <w:pPr>
              <w:pStyle w:val="ListParagraph"/>
              <w:spacing w:before="120"/>
              <w:ind w:left="0"/>
              <w:contextualSpacing w:val="0"/>
              <w:jc w:val="both"/>
              <w:rPr>
                <w:b/>
              </w:rPr>
            </w:pPr>
            <w:r>
              <w:rPr>
                <w:b/>
              </w:rPr>
              <w:t>Indicator</w:t>
            </w:r>
          </w:p>
        </w:tc>
        <w:tc>
          <w:tcPr>
            <w:tcW w:w="2613" w:type="dxa"/>
          </w:tcPr>
          <w:p w:rsidR="005617EC" w:rsidRDefault="005617EC" w:rsidP="00693B59">
            <w:pPr>
              <w:pStyle w:val="ListParagraph"/>
              <w:spacing w:before="120"/>
              <w:ind w:left="0"/>
              <w:contextualSpacing w:val="0"/>
              <w:jc w:val="both"/>
              <w:rPr>
                <w:b/>
              </w:rPr>
            </w:pPr>
            <w:r>
              <w:rPr>
                <w:b/>
              </w:rPr>
              <w:t xml:space="preserve">Observation  </w:t>
            </w:r>
          </w:p>
        </w:tc>
        <w:tc>
          <w:tcPr>
            <w:tcW w:w="5576" w:type="dxa"/>
          </w:tcPr>
          <w:p w:rsidR="005617EC" w:rsidRDefault="005617EC" w:rsidP="00693B59">
            <w:pPr>
              <w:pStyle w:val="ListParagraph"/>
              <w:spacing w:before="120"/>
              <w:ind w:left="0"/>
              <w:contextualSpacing w:val="0"/>
              <w:jc w:val="both"/>
              <w:rPr>
                <w:b/>
              </w:rPr>
            </w:pPr>
            <w:r>
              <w:rPr>
                <w:b/>
              </w:rPr>
              <w:t xml:space="preserve">Answer / Decision </w:t>
            </w:r>
          </w:p>
        </w:tc>
      </w:tr>
      <w:tr w:rsidR="005617EC" w:rsidTr="005617EC">
        <w:trPr>
          <w:trHeight w:val="558"/>
        </w:trPr>
        <w:tc>
          <w:tcPr>
            <w:tcW w:w="1404" w:type="dxa"/>
          </w:tcPr>
          <w:p w:rsidR="005617EC" w:rsidRDefault="005617EC" w:rsidP="00693B59">
            <w:pPr>
              <w:pStyle w:val="ListParagraph"/>
              <w:spacing w:before="120"/>
              <w:ind w:left="0"/>
              <w:contextualSpacing w:val="0"/>
              <w:rPr>
                <w:b/>
              </w:rPr>
            </w:pPr>
            <w:r>
              <w:rPr>
                <w:b/>
              </w:rPr>
              <w:t>Availability of commodities</w:t>
            </w:r>
          </w:p>
        </w:tc>
        <w:tc>
          <w:tcPr>
            <w:tcW w:w="2613" w:type="dxa"/>
          </w:tcPr>
          <w:p w:rsidR="00316100" w:rsidRDefault="00316100" w:rsidP="005617EC">
            <w:pPr>
              <w:spacing w:before="120"/>
            </w:pPr>
            <w:r>
              <w:t>Clearance situation</w:t>
            </w:r>
          </w:p>
          <w:p w:rsidR="00F1098E" w:rsidRDefault="0075463A" w:rsidP="005617EC">
            <w:pPr>
              <w:spacing w:before="120"/>
            </w:pPr>
            <w:r>
              <w:t xml:space="preserve">0 </w:t>
            </w:r>
            <w:proofErr w:type="spellStart"/>
            <w:r>
              <w:t>MoS</w:t>
            </w:r>
            <w:proofErr w:type="spellEnd"/>
            <w:r>
              <w:t xml:space="preserve"> Capreomycin</w:t>
            </w:r>
          </w:p>
          <w:p w:rsidR="00316100" w:rsidRDefault="00316100" w:rsidP="005617EC">
            <w:pPr>
              <w:spacing w:before="120"/>
            </w:pPr>
            <w:r>
              <w:t>Outlook stock next 6 months</w:t>
            </w:r>
          </w:p>
          <w:p w:rsidR="00316100" w:rsidRPr="001571F6" w:rsidRDefault="00316100" w:rsidP="005617EC">
            <w:pPr>
              <w:spacing w:before="120"/>
            </w:pPr>
            <w:r>
              <w:lastRenderedPageBreak/>
              <w:t xml:space="preserve">Implications of new incoterms </w:t>
            </w:r>
          </w:p>
        </w:tc>
        <w:tc>
          <w:tcPr>
            <w:tcW w:w="5576" w:type="dxa"/>
          </w:tcPr>
          <w:p w:rsidR="005617EC" w:rsidRDefault="00B10C7E" w:rsidP="00693B59">
            <w:pPr>
              <w:pStyle w:val="ListParagraph"/>
              <w:spacing w:before="120"/>
              <w:ind w:left="0"/>
              <w:contextualSpacing w:val="0"/>
            </w:pPr>
            <w:r>
              <w:lastRenderedPageBreak/>
              <w:t>Sputum containers still not cleared. Specific exemption will be signed today.</w:t>
            </w:r>
          </w:p>
          <w:p w:rsidR="00B10C7E" w:rsidRDefault="00B10C7E" w:rsidP="00693B59">
            <w:pPr>
              <w:pStyle w:val="ListParagraph"/>
              <w:spacing w:before="120"/>
              <w:ind w:left="0"/>
              <w:contextualSpacing w:val="0"/>
            </w:pPr>
            <w:r>
              <w:t>Capreomycin has arrived</w:t>
            </w:r>
          </w:p>
          <w:p w:rsidR="00B10C7E" w:rsidRDefault="00B10C7E" w:rsidP="00693B59">
            <w:pPr>
              <w:pStyle w:val="ListParagraph"/>
              <w:spacing w:before="120"/>
              <w:ind w:left="0"/>
              <w:contextualSpacing w:val="0"/>
            </w:pPr>
            <w:r>
              <w:t xml:space="preserve">Stock will adequate for next six months Kat I-III: 15 months, children 7 or 8 </w:t>
            </w:r>
            <w:proofErr w:type="spellStart"/>
            <w:r>
              <w:t>MoS</w:t>
            </w:r>
            <w:proofErr w:type="spellEnd"/>
          </w:p>
          <w:p w:rsidR="00720C9E" w:rsidRDefault="00720C9E" w:rsidP="00693B59">
            <w:pPr>
              <w:pStyle w:val="ListParagraph"/>
              <w:spacing w:before="120"/>
              <w:ind w:left="0"/>
              <w:contextualSpacing w:val="0"/>
            </w:pPr>
            <w:r>
              <w:lastRenderedPageBreak/>
              <w:t xml:space="preserve">CIP: MoH must clear, not a clearing agent. </w:t>
            </w:r>
          </w:p>
          <w:p w:rsidR="00720C9E" w:rsidRPr="001571F6" w:rsidRDefault="00720C9E" w:rsidP="00693B59">
            <w:pPr>
              <w:pStyle w:val="ListParagraph"/>
              <w:spacing w:before="120"/>
              <w:ind w:left="0"/>
              <w:contextualSpacing w:val="0"/>
            </w:pPr>
            <w:r>
              <w:t>New people at MoH. Needs to be avoided to be in similar situation re tax exemption next year</w:t>
            </w:r>
          </w:p>
        </w:tc>
      </w:tr>
    </w:tbl>
    <w:p w:rsidR="002A5DD9" w:rsidRDefault="002A5DD9" w:rsidP="002A5DD9">
      <w:pPr>
        <w:pStyle w:val="ListParagraph"/>
        <w:ind w:left="360"/>
        <w:jc w:val="both"/>
        <w:rPr>
          <w:b/>
        </w:rPr>
      </w:pPr>
      <w:bookmarkStart w:id="0" w:name="_GoBack"/>
      <w:bookmarkEnd w:id="0"/>
    </w:p>
    <w:p w:rsidR="00F957F5" w:rsidRDefault="00F957F5" w:rsidP="00FC72F1">
      <w:pPr>
        <w:pStyle w:val="ListParagraph"/>
        <w:numPr>
          <w:ilvl w:val="0"/>
          <w:numId w:val="3"/>
        </w:numPr>
        <w:spacing w:before="360" w:after="120"/>
        <w:ind w:left="357" w:hanging="357"/>
        <w:contextualSpacing w:val="0"/>
        <w:jc w:val="both"/>
        <w:rPr>
          <w:color w:val="000000" w:themeColor="text1"/>
        </w:rPr>
      </w:pPr>
      <w:r w:rsidRPr="00C75836">
        <w:rPr>
          <w:b/>
          <w:color w:val="000000" w:themeColor="text1"/>
        </w:rPr>
        <w:t>Programmatic Indicators:</w:t>
      </w:r>
      <w:r w:rsidR="00412F3B">
        <w:rPr>
          <w:color w:val="000000" w:themeColor="text1"/>
        </w:rPr>
        <w:t xml:space="preserve"> </w:t>
      </w:r>
      <w:r w:rsidR="00390D44">
        <w:rPr>
          <w:color w:val="000000" w:themeColor="text1"/>
        </w:rPr>
        <w:t xml:space="preserve"> </w:t>
      </w:r>
    </w:p>
    <w:tbl>
      <w:tblPr>
        <w:tblStyle w:val="TableGrid"/>
        <w:tblW w:w="0" w:type="auto"/>
        <w:tblInd w:w="357" w:type="dxa"/>
        <w:tblLook w:val="04A0" w:firstRow="1" w:lastRow="0" w:firstColumn="1" w:lastColumn="0" w:noHBand="0" w:noVBand="1"/>
      </w:tblPr>
      <w:tblGrid>
        <w:gridCol w:w="1676"/>
        <w:gridCol w:w="2444"/>
        <w:gridCol w:w="5473"/>
      </w:tblGrid>
      <w:tr w:rsidR="00390D44" w:rsidTr="00390D44">
        <w:tc>
          <w:tcPr>
            <w:tcW w:w="1676" w:type="dxa"/>
          </w:tcPr>
          <w:p w:rsidR="00390D44" w:rsidRDefault="00390D44" w:rsidP="00693B59">
            <w:pPr>
              <w:pStyle w:val="ListParagraph"/>
              <w:spacing w:before="120"/>
              <w:ind w:left="0"/>
              <w:contextualSpacing w:val="0"/>
              <w:jc w:val="both"/>
              <w:rPr>
                <w:b/>
              </w:rPr>
            </w:pPr>
            <w:r>
              <w:rPr>
                <w:b/>
              </w:rPr>
              <w:t>Indicator</w:t>
            </w:r>
          </w:p>
        </w:tc>
        <w:tc>
          <w:tcPr>
            <w:tcW w:w="2444" w:type="dxa"/>
          </w:tcPr>
          <w:p w:rsidR="00390D44" w:rsidRDefault="00390D44" w:rsidP="00693B59">
            <w:pPr>
              <w:pStyle w:val="ListParagraph"/>
              <w:spacing w:before="120"/>
              <w:ind w:left="0"/>
              <w:contextualSpacing w:val="0"/>
              <w:jc w:val="both"/>
              <w:rPr>
                <w:b/>
              </w:rPr>
            </w:pPr>
            <w:r>
              <w:rPr>
                <w:b/>
              </w:rPr>
              <w:t xml:space="preserve">Observation  </w:t>
            </w:r>
          </w:p>
        </w:tc>
        <w:tc>
          <w:tcPr>
            <w:tcW w:w="5473" w:type="dxa"/>
          </w:tcPr>
          <w:p w:rsidR="00390D44" w:rsidRDefault="00390D44" w:rsidP="00693B59">
            <w:pPr>
              <w:pStyle w:val="ListParagraph"/>
              <w:spacing w:before="120"/>
              <w:ind w:left="0"/>
              <w:contextualSpacing w:val="0"/>
              <w:jc w:val="both"/>
              <w:rPr>
                <w:b/>
              </w:rPr>
            </w:pPr>
            <w:r>
              <w:rPr>
                <w:b/>
              </w:rPr>
              <w:t xml:space="preserve">Answer / Decision </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 notified cases all</w:t>
            </w:r>
          </w:p>
        </w:tc>
        <w:tc>
          <w:tcPr>
            <w:tcW w:w="2444" w:type="dxa"/>
          </w:tcPr>
          <w:p w:rsidR="00390D44" w:rsidRDefault="001C4D73" w:rsidP="00693B59">
            <w:pPr>
              <w:pStyle w:val="ListParagraph"/>
              <w:spacing w:before="120"/>
              <w:ind w:left="34"/>
            </w:pPr>
            <w:r>
              <w:t>3428 = 48%, exactly at the level of the previous quarters</w:t>
            </w:r>
          </w:p>
          <w:p w:rsidR="008E6ECD" w:rsidRDefault="008E6ECD" w:rsidP="00693B59">
            <w:pPr>
              <w:pStyle w:val="ListParagraph"/>
              <w:spacing w:before="120"/>
              <w:ind w:left="34"/>
            </w:pPr>
            <w:r>
              <w:t>Ghana reached 14550 in 2017 = &lt; 1/3 of cases</w:t>
            </w:r>
          </w:p>
          <w:p w:rsidR="00793793" w:rsidRPr="001571F6" w:rsidRDefault="00793793" w:rsidP="00693B59">
            <w:pPr>
              <w:pStyle w:val="ListParagraph"/>
              <w:spacing w:before="120"/>
              <w:ind w:left="34"/>
            </w:pPr>
            <w:r>
              <w:t>How did the mobile vans contribute to result?</w:t>
            </w:r>
          </w:p>
        </w:tc>
        <w:tc>
          <w:tcPr>
            <w:tcW w:w="5473" w:type="dxa"/>
          </w:tcPr>
          <w:p w:rsidR="00390D44" w:rsidRDefault="003E068B" w:rsidP="00F14E90">
            <w:pPr>
              <w:pStyle w:val="ListParagraph"/>
              <w:spacing w:before="120"/>
              <w:ind w:left="0"/>
              <w:contextualSpacing w:val="0"/>
            </w:pPr>
            <w:r>
              <w:t xml:space="preserve">Significant improvement in ICF: higher testing </w:t>
            </w:r>
            <w:proofErr w:type="gramStart"/>
            <w:r>
              <w:t>rates  among</w:t>
            </w:r>
            <w:proofErr w:type="gramEnd"/>
            <w:r>
              <w:t xml:space="preserve"> those eligible. However, still low achievement, total number of clients did not improve</w:t>
            </w:r>
            <w:r w:rsidR="00ED6701">
              <w:t>. Very ambitious targets. Way forward: cartridges will not run out</w:t>
            </w:r>
            <w:r w:rsidR="00F42D72">
              <w:t>, medications will be available to have no excuse</w:t>
            </w:r>
            <w:r>
              <w:t xml:space="preserve"> (some facilities stop screening during the period where they cannot provide medication)</w:t>
            </w:r>
            <w:r w:rsidR="00F42D72">
              <w:t>.</w:t>
            </w:r>
          </w:p>
          <w:p w:rsidR="00F42D72" w:rsidRDefault="00F42D72" w:rsidP="00F14E90">
            <w:pPr>
              <w:pStyle w:val="ListParagraph"/>
              <w:spacing w:before="120"/>
              <w:ind w:left="0"/>
              <w:contextualSpacing w:val="0"/>
            </w:pPr>
            <w:r>
              <w:t xml:space="preserve">Monthly meeting with program officers. Program officers </w:t>
            </w:r>
            <w:r w:rsidR="003E068B">
              <w:t xml:space="preserve">at regional level </w:t>
            </w:r>
            <w:r>
              <w:t xml:space="preserve">must check before DHIMS is locked that all data were entered. </w:t>
            </w:r>
          </w:p>
          <w:p w:rsidR="00F42D72" w:rsidRPr="001571F6" w:rsidRDefault="00A94667" w:rsidP="00F14E90">
            <w:pPr>
              <w:pStyle w:val="ListParagraph"/>
              <w:spacing w:before="120"/>
              <w:ind w:left="0"/>
              <w:contextualSpacing w:val="0"/>
            </w:pPr>
            <w:r>
              <w:t>GeneXpert 95% correct results</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Success rate</w:t>
            </w:r>
          </w:p>
        </w:tc>
        <w:tc>
          <w:tcPr>
            <w:tcW w:w="2444" w:type="dxa"/>
          </w:tcPr>
          <w:p w:rsidR="001C4D73" w:rsidRDefault="001C4D73" w:rsidP="001C4D73">
            <w:pPr>
              <w:pStyle w:val="ListParagraph"/>
              <w:spacing w:before="120"/>
              <w:ind w:left="34"/>
            </w:pPr>
            <w:r>
              <w:t xml:space="preserve">83% (DB) = 85% of those bact. confirmed (target = 89%), </w:t>
            </w:r>
          </w:p>
          <w:p w:rsidR="00390D44" w:rsidRPr="001571F6" w:rsidRDefault="001C4D73" w:rsidP="00EA055D">
            <w:pPr>
              <w:pStyle w:val="ListParagraph"/>
              <w:spacing w:before="120"/>
              <w:ind w:left="34"/>
            </w:pPr>
            <w:r>
              <w:t>Low performers</w:t>
            </w:r>
            <w:r w:rsidR="00EA055D">
              <w:t>:</w:t>
            </w:r>
            <w:r>
              <w:t xml:space="preserve"> CR and UER </w:t>
            </w:r>
          </w:p>
        </w:tc>
        <w:tc>
          <w:tcPr>
            <w:tcW w:w="5473" w:type="dxa"/>
          </w:tcPr>
          <w:p w:rsidR="00390D44" w:rsidRPr="001571F6" w:rsidRDefault="00390D44" w:rsidP="00693B59">
            <w:pPr>
              <w:pStyle w:val="ListParagraph"/>
              <w:spacing w:before="120"/>
              <w:ind w:left="0"/>
              <w:contextualSpacing w:val="0"/>
            </w:pPr>
          </w:p>
        </w:tc>
      </w:tr>
      <w:tr w:rsidR="00390D44" w:rsidTr="00390D44">
        <w:trPr>
          <w:trHeight w:val="558"/>
        </w:trPr>
        <w:tc>
          <w:tcPr>
            <w:tcW w:w="1676" w:type="dxa"/>
          </w:tcPr>
          <w:p w:rsidR="00390D44" w:rsidRPr="00F44C73" w:rsidRDefault="00BB393D" w:rsidP="00693B59">
            <w:pPr>
              <w:pStyle w:val="ListParagraph"/>
              <w:spacing w:before="120"/>
              <w:ind w:left="0"/>
              <w:contextualSpacing w:val="0"/>
              <w:rPr>
                <w:b/>
              </w:rPr>
            </w:pPr>
            <w:r>
              <w:rPr>
                <w:b/>
              </w:rPr>
              <w:t># RR/MDR-TB notified</w:t>
            </w:r>
          </w:p>
        </w:tc>
        <w:tc>
          <w:tcPr>
            <w:tcW w:w="2444" w:type="dxa"/>
          </w:tcPr>
          <w:p w:rsidR="008E6ECD" w:rsidRDefault="008E6ECD" w:rsidP="008E6ECD">
            <w:pPr>
              <w:pStyle w:val="ListParagraph"/>
              <w:spacing w:before="120"/>
              <w:ind w:left="34"/>
            </w:pPr>
            <w:r>
              <w:t>78% = 39 cases</w:t>
            </w:r>
          </w:p>
          <w:p w:rsidR="00390D44" w:rsidRDefault="008E6ECD" w:rsidP="008E6ECD">
            <w:pPr>
              <w:pStyle w:val="ListParagraph"/>
              <w:spacing w:before="120"/>
              <w:ind w:left="34"/>
            </w:pPr>
            <w:r>
              <w:t xml:space="preserve">In 2017 200 cases diagnosed = &lt;1/3 of </w:t>
            </w:r>
            <w:r w:rsidR="00A73FCE">
              <w:t>cases</w:t>
            </w:r>
            <w:r>
              <w:t xml:space="preserve"> </w:t>
            </w:r>
          </w:p>
          <w:p w:rsidR="00793793" w:rsidRPr="001571F6" w:rsidRDefault="00793793" w:rsidP="008E6ECD">
            <w:pPr>
              <w:pStyle w:val="ListParagraph"/>
              <w:spacing w:before="120"/>
              <w:ind w:left="34"/>
            </w:pPr>
            <w:r>
              <w:t xml:space="preserve">Status quo short term regimen announced for October? </w:t>
            </w:r>
          </w:p>
        </w:tc>
        <w:tc>
          <w:tcPr>
            <w:tcW w:w="5473" w:type="dxa"/>
          </w:tcPr>
          <w:p w:rsidR="00390D44" w:rsidRPr="001571F6" w:rsidRDefault="00ED6701" w:rsidP="00693B59">
            <w:pPr>
              <w:pStyle w:val="ListParagraph"/>
              <w:spacing w:before="120"/>
              <w:ind w:left="0"/>
              <w:contextualSpacing w:val="0"/>
            </w:pPr>
            <w:r>
              <w:t>GF target more or less achieved. Goes together with general challenge of case identification. 103% sites with GeneXpert. Collaboration with NACP to enhance sample transport. More samples will be tested on GeneXpert and hopefully detect more MDR-TB</w:t>
            </w:r>
          </w:p>
        </w:tc>
      </w:tr>
      <w:tr w:rsidR="00BB393D" w:rsidTr="00390D44">
        <w:trPr>
          <w:trHeight w:val="558"/>
        </w:trPr>
        <w:tc>
          <w:tcPr>
            <w:tcW w:w="1676" w:type="dxa"/>
          </w:tcPr>
          <w:p w:rsidR="00BB393D" w:rsidRDefault="00BB393D" w:rsidP="00BB393D">
            <w:pPr>
              <w:pStyle w:val="ListParagraph"/>
              <w:spacing w:before="120"/>
              <w:ind w:left="0"/>
              <w:contextualSpacing w:val="0"/>
              <w:rPr>
                <w:b/>
              </w:rPr>
            </w:pPr>
            <w:r>
              <w:rPr>
                <w:b/>
              </w:rPr>
              <w:t># RR/MDR-TB who started treatment</w:t>
            </w:r>
          </w:p>
        </w:tc>
        <w:tc>
          <w:tcPr>
            <w:tcW w:w="2444" w:type="dxa"/>
          </w:tcPr>
          <w:p w:rsidR="00A73FCE" w:rsidRDefault="008E6ECD" w:rsidP="00A73FCE">
            <w:pPr>
              <w:pStyle w:val="ListParagraph"/>
              <w:spacing w:before="120"/>
              <w:ind w:left="34"/>
            </w:pPr>
            <w:r>
              <w:t>23 clients</w:t>
            </w:r>
            <w:r w:rsidR="00A73FCE">
              <w:t xml:space="preserve"> = 46% (DB) and 59% of those diagnosed. What happened to the remaining 16 clients? </w:t>
            </w:r>
          </w:p>
          <w:p w:rsidR="00A73FCE" w:rsidRDefault="00A73FCE" w:rsidP="00A73FCE">
            <w:pPr>
              <w:pStyle w:val="ListParagraph"/>
              <w:spacing w:before="120"/>
              <w:ind w:left="34"/>
            </w:pPr>
          </w:p>
          <w:p w:rsidR="00BB393D" w:rsidRDefault="00A73FCE" w:rsidP="00A73FCE">
            <w:pPr>
              <w:pStyle w:val="ListParagraph"/>
              <w:spacing w:before="120"/>
              <w:ind w:left="34"/>
            </w:pPr>
            <w:r>
              <w:t xml:space="preserve">Out of 200 cases diagnosed in 2017, 70 are LTFU </w:t>
            </w:r>
            <w:r w:rsidR="0000156A">
              <w:t xml:space="preserve">(=100 for entire NFM) </w:t>
            </w:r>
            <w:r>
              <w:t xml:space="preserve">– reward for successful tracing? </w:t>
            </w:r>
          </w:p>
          <w:p w:rsidR="00BF758E" w:rsidRDefault="00BF758E" w:rsidP="00A73FCE">
            <w:pPr>
              <w:pStyle w:val="ListParagraph"/>
              <w:spacing w:before="120"/>
              <w:ind w:left="34"/>
            </w:pPr>
          </w:p>
          <w:p w:rsidR="00BF758E" w:rsidRPr="001571F6" w:rsidRDefault="00BF758E" w:rsidP="00A73FCE">
            <w:pPr>
              <w:pStyle w:val="ListParagraph"/>
              <w:spacing w:before="120"/>
              <w:ind w:left="34"/>
            </w:pPr>
            <w:r>
              <w:t>Number of deaths</w:t>
            </w:r>
          </w:p>
        </w:tc>
        <w:tc>
          <w:tcPr>
            <w:tcW w:w="5473" w:type="dxa"/>
          </w:tcPr>
          <w:p w:rsidR="00BB393D" w:rsidRDefault="00ED6701" w:rsidP="00ED6701">
            <w:pPr>
              <w:pStyle w:val="ListParagraph"/>
              <w:spacing w:before="120"/>
              <w:ind w:left="0"/>
              <w:contextualSpacing w:val="0"/>
            </w:pPr>
            <w:r>
              <w:t>Shortage of Capreomycin</w:t>
            </w:r>
            <w:r w:rsidR="000F2CFB">
              <w:t xml:space="preserve"> in Q4 resulted in backlog</w:t>
            </w:r>
            <w:r>
              <w:t>. Due to software (GS Alert) better overview at central level on confirmed MDR-TB clients. Can better inform regional level to follow up</w:t>
            </w:r>
            <w:r w:rsidR="00F42D72">
              <w:t>, better follow up from central level</w:t>
            </w:r>
            <w:r w:rsidR="003E068B">
              <w:t xml:space="preserve"> possible</w:t>
            </w:r>
            <w:r>
              <w:t xml:space="preserve">. </w:t>
            </w:r>
          </w:p>
          <w:p w:rsidR="00ED6701" w:rsidRDefault="00ED6701" w:rsidP="00ED6701">
            <w:pPr>
              <w:pStyle w:val="ListParagraph"/>
              <w:spacing w:before="120"/>
              <w:ind w:left="0"/>
              <w:contextualSpacing w:val="0"/>
            </w:pPr>
            <w:r>
              <w:t xml:space="preserve">Shorter regimen hopefully enhances treatment enrollment, will be reported on DHIMS. </w:t>
            </w:r>
          </w:p>
          <w:p w:rsidR="00ED6701" w:rsidRPr="001571F6" w:rsidRDefault="00ED6701" w:rsidP="000F2CFB">
            <w:pPr>
              <w:pStyle w:val="ListParagraph"/>
              <w:spacing w:before="120"/>
              <w:ind w:left="0"/>
              <w:contextualSpacing w:val="0"/>
            </w:pPr>
            <w:r>
              <w:t xml:space="preserve">Many baseline tests for MDR-TB clients </w:t>
            </w:r>
            <w:r w:rsidR="000F2CFB">
              <w:t>taking about a month. Baseline tests not free, NHIS doesn’t cover every test. Often funded by enablers package</w:t>
            </w:r>
            <w:r w:rsidR="00B10C7E">
              <w:t xml:space="preserve"> (5000 for 12 months per client)</w:t>
            </w:r>
            <w:r w:rsidR="000F2CFB">
              <w:t xml:space="preserve">. </w:t>
            </w:r>
          </w:p>
        </w:tc>
      </w:tr>
      <w:tr w:rsidR="00BB393D" w:rsidTr="00390D44">
        <w:tc>
          <w:tcPr>
            <w:tcW w:w="1676" w:type="dxa"/>
          </w:tcPr>
          <w:p w:rsidR="00BB393D" w:rsidRDefault="00BB393D" w:rsidP="00BB393D">
            <w:pPr>
              <w:pStyle w:val="ListParagraph"/>
              <w:spacing w:before="120"/>
              <w:ind w:left="0"/>
              <w:contextualSpacing w:val="0"/>
              <w:rPr>
                <w:b/>
              </w:rPr>
            </w:pPr>
            <w:r>
              <w:rPr>
                <w:b/>
              </w:rPr>
              <w:lastRenderedPageBreak/>
              <w:t># notified cases bacteriological</w:t>
            </w:r>
          </w:p>
        </w:tc>
        <w:tc>
          <w:tcPr>
            <w:tcW w:w="2444" w:type="dxa"/>
          </w:tcPr>
          <w:p w:rsidR="00BB393D" w:rsidRDefault="001C4D73" w:rsidP="001C4D73">
            <w:pPr>
              <w:pStyle w:val="ListParagraph"/>
              <w:spacing w:before="120"/>
              <w:ind w:left="0"/>
              <w:contextualSpacing w:val="0"/>
            </w:pPr>
            <w:r>
              <w:t xml:space="preserve">91% </w:t>
            </w:r>
            <w:r w:rsidR="008E6ECD">
              <w:t xml:space="preserve">achievement rate </w:t>
            </w:r>
            <w:r>
              <w:t>according to DB, 97% of all notified cases</w:t>
            </w:r>
          </w:p>
          <w:p w:rsidR="00A73FCE" w:rsidRPr="001571F6" w:rsidRDefault="00A73FCE" w:rsidP="001C4D73">
            <w:pPr>
              <w:pStyle w:val="ListParagraph"/>
              <w:spacing w:before="120"/>
              <w:ind w:left="0"/>
              <w:contextualSpacing w:val="0"/>
            </w:pPr>
            <w:r>
              <w:t>What is being done to harmonize diagnosis on the ground (GeneXpert as first means where it exists)</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BB393D" w:rsidP="00BB393D">
            <w:pPr>
              <w:pStyle w:val="ListParagraph"/>
              <w:spacing w:before="120"/>
              <w:ind w:left="0"/>
              <w:contextualSpacing w:val="0"/>
              <w:rPr>
                <w:b/>
              </w:rPr>
            </w:pPr>
            <w:r>
              <w:rPr>
                <w:b/>
              </w:rPr>
              <w:t># DST</w:t>
            </w:r>
          </w:p>
        </w:tc>
        <w:tc>
          <w:tcPr>
            <w:tcW w:w="2444" w:type="dxa"/>
          </w:tcPr>
          <w:p w:rsidR="00BB393D" w:rsidRPr="001571F6" w:rsidRDefault="007A3542" w:rsidP="00BB393D">
            <w:pPr>
              <w:pStyle w:val="ListParagraph"/>
              <w:spacing w:before="120"/>
              <w:ind w:left="0"/>
              <w:contextualSpacing w:val="0"/>
            </w:pPr>
            <w:r>
              <w:t>42% = 136 clients</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BB393D" w:rsidP="00BB393D">
            <w:pPr>
              <w:pStyle w:val="ListParagraph"/>
              <w:spacing w:before="120"/>
              <w:ind w:left="0"/>
              <w:contextualSpacing w:val="0"/>
              <w:rPr>
                <w:b/>
              </w:rPr>
            </w:pPr>
            <w:r>
              <w:rPr>
                <w:b/>
              </w:rPr>
              <w:t># Labs EQA</w:t>
            </w:r>
          </w:p>
        </w:tc>
        <w:tc>
          <w:tcPr>
            <w:tcW w:w="2444" w:type="dxa"/>
          </w:tcPr>
          <w:p w:rsidR="00BB393D" w:rsidRPr="001571F6" w:rsidRDefault="007A3542" w:rsidP="00BB393D">
            <w:pPr>
              <w:pStyle w:val="ListParagraph"/>
              <w:spacing w:before="120"/>
              <w:ind w:left="0"/>
              <w:contextualSpacing w:val="0"/>
            </w:pPr>
            <w:r>
              <w:t>44%</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BB393D" w:rsidP="00BB393D">
            <w:pPr>
              <w:pStyle w:val="ListParagraph"/>
              <w:spacing w:before="120"/>
              <w:ind w:left="0"/>
              <w:contextualSpacing w:val="0"/>
              <w:rPr>
                <w:b/>
              </w:rPr>
            </w:pPr>
            <w:r>
              <w:rPr>
                <w:b/>
              </w:rPr>
              <w:t># HTS</w:t>
            </w:r>
          </w:p>
        </w:tc>
        <w:tc>
          <w:tcPr>
            <w:tcW w:w="2444" w:type="dxa"/>
          </w:tcPr>
          <w:p w:rsidR="00BB393D" w:rsidRPr="001571F6" w:rsidRDefault="007A3542" w:rsidP="00BB393D">
            <w:pPr>
              <w:pStyle w:val="ListParagraph"/>
              <w:spacing w:before="120"/>
              <w:ind w:left="0"/>
              <w:contextualSpacing w:val="0"/>
            </w:pPr>
            <w:r>
              <w:t>56% (DB) but 3136 out of 3428 TB cases tested = 92</w:t>
            </w:r>
            <w:r w:rsidR="00720C9E">
              <w:t>%</w:t>
            </w:r>
            <w:r>
              <w:t xml:space="preserve"> (target = 80%)</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BB393D" w:rsidP="00BB393D">
            <w:pPr>
              <w:pStyle w:val="ListParagraph"/>
              <w:spacing w:before="120"/>
              <w:ind w:left="0"/>
              <w:contextualSpacing w:val="0"/>
              <w:rPr>
                <w:b/>
              </w:rPr>
            </w:pPr>
            <w:r>
              <w:rPr>
                <w:b/>
              </w:rPr>
              <w:t># ART</w:t>
            </w:r>
          </w:p>
        </w:tc>
        <w:tc>
          <w:tcPr>
            <w:tcW w:w="2444" w:type="dxa"/>
          </w:tcPr>
          <w:p w:rsidR="00BB393D" w:rsidRPr="001571F6" w:rsidRDefault="00980D2F" w:rsidP="00BB393D">
            <w:pPr>
              <w:pStyle w:val="ListParagraph"/>
              <w:spacing w:before="120"/>
              <w:ind w:left="0"/>
              <w:contextualSpacing w:val="0"/>
            </w:pPr>
            <w:r>
              <w:t>30% (DB) but 305 out of 613 tested positive enrolled = 50%, entire 2017: 53%</w:t>
            </w:r>
            <w:r w:rsidR="00F02178">
              <w:t>, increase in NFM until Q2/2017, thereafter drop</w:t>
            </w:r>
          </w:p>
        </w:tc>
        <w:tc>
          <w:tcPr>
            <w:tcW w:w="5473" w:type="dxa"/>
          </w:tcPr>
          <w:p w:rsidR="00BB393D" w:rsidRPr="001571F6" w:rsidRDefault="006A02BB" w:rsidP="00B02124">
            <w:pPr>
              <w:pStyle w:val="ListParagraph"/>
              <w:spacing w:before="120"/>
              <w:ind w:left="0"/>
              <w:contextualSpacing w:val="0"/>
            </w:pPr>
            <w:r>
              <w:t>NACP does capacity building DOTS/ART integration. Better referral system needed. Build capacity for more DOTS center</w:t>
            </w:r>
            <w:r w:rsidR="00EB4D17">
              <w:t>s</w:t>
            </w:r>
            <w:r>
              <w:t xml:space="preserve">. One stop shops will improve the situation, Suggestion to look into counselling skills. OC member: </w:t>
            </w:r>
            <w:r w:rsidR="00B02124">
              <w:t>HIV counselling often does not take place. C</w:t>
            </w:r>
            <w:r>
              <w:t xml:space="preserve">ounselling even for TB sometimes inadequate. </w:t>
            </w:r>
          </w:p>
        </w:tc>
      </w:tr>
      <w:tr w:rsidR="00BB393D" w:rsidTr="00390D44">
        <w:tc>
          <w:tcPr>
            <w:tcW w:w="1676" w:type="dxa"/>
          </w:tcPr>
          <w:p w:rsidR="00BB393D" w:rsidRDefault="00BB393D" w:rsidP="00BB393D">
            <w:pPr>
              <w:pStyle w:val="ListParagraph"/>
              <w:spacing w:before="120"/>
              <w:ind w:left="0"/>
              <w:contextualSpacing w:val="0"/>
              <w:rPr>
                <w:b/>
              </w:rPr>
            </w:pPr>
            <w:r>
              <w:rPr>
                <w:b/>
              </w:rPr>
              <w:t># non NTP providers</w:t>
            </w:r>
          </w:p>
        </w:tc>
        <w:tc>
          <w:tcPr>
            <w:tcW w:w="2444" w:type="dxa"/>
          </w:tcPr>
          <w:p w:rsidR="009E497A" w:rsidRPr="001571F6" w:rsidRDefault="0075463A" w:rsidP="00BB393D">
            <w:pPr>
              <w:pStyle w:val="ListParagraph"/>
              <w:spacing w:before="120"/>
              <w:ind w:left="0"/>
              <w:contextualSpacing w:val="0"/>
            </w:pPr>
            <w:r>
              <w:t xml:space="preserve">32% </w:t>
            </w:r>
            <w:r w:rsidR="00793793">
              <w:t xml:space="preserve">STBP reporting not clear. What is the situation, how successful are NGOs. What do they need to improve? </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50600A" w:rsidP="00BB393D">
            <w:pPr>
              <w:pStyle w:val="ListParagraph"/>
              <w:spacing w:before="120"/>
              <w:ind w:left="0"/>
              <w:contextualSpacing w:val="0"/>
              <w:rPr>
                <w:b/>
              </w:rPr>
            </w:pPr>
            <w:r>
              <w:rPr>
                <w:b/>
              </w:rPr>
              <w:t># district hospitals with</w:t>
            </w:r>
            <w:r w:rsidR="009E497A">
              <w:rPr>
                <w:b/>
              </w:rPr>
              <w:t xml:space="preserve"> no</w:t>
            </w:r>
            <w:r>
              <w:rPr>
                <w:b/>
              </w:rPr>
              <w:t xml:space="preserve"> stock out</w:t>
            </w:r>
          </w:p>
        </w:tc>
        <w:tc>
          <w:tcPr>
            <w:tcW w:w="2444" w:type="dxa"/>
          </w:tcPr>
          <w:p w:rsidR="00BB393D" w:rsidRPr="001571F6" w:rsidRDefault="00793793" w:rsidP="00BB393D">
            <w:pPr>
              <w:pStyle w:val="ListParagraph"/>
              <w:spacing w:before="120"/>
              <w:ind w:left="0"/>
              <w:contextualSpacing w:val="0"/>
            </w:pPr>
            <w:r>
              <w:t>86%</w:t>
            </w:r>
          </w:p>
        </w:tc>
        <w:tc>
          <w:tcPr>
            <w:tcW w:w="5473" w:type="dxa"/>
          </w:tcPr>
          <w:p w:rsidR="00BB393D" w:rsidRPr="001571F6" w:rsidRDefault="00BB393D" w:rsidP="00BB393D">
            <w:pPr>
              <w:pStyle w:val="ListParagraph"/>
              <w:spacing w:before="120"/>
              <w:ind w:left="0"/>
              <w:contextualSpacing w:val="0"/>
            </w:pPr>
          </w:p>
        </w:tc>
      </w:tr>
    </w:tbl>
    <w:p w:rsidR="00B67870" w:rsidRDefault="00B67870" w:rsidP="00FC72F1">
      <w:pPr>
        <w:pStyle w:val="ListParagraph"/>
        <w:numPr>
          <w:ilvl w:val="0"/>
          <w:numId w:val="3"/>
        </w:numPr>
        <w:spacing w:before="360" w:after="120"/>
        <w:ind w:left="357" w:hanging="357"/>
        <w:contextualSpacing w:val="0"/>
        <w:jc w:val="both"/>
        <w:rPr>
          <w:b/>
        </w:rPr>
      </w:pPr>
      <w:r>
        <w:rPr>
          <w:b/>
        </w:rPr>
        <w:t>Recommendations:</w:t>
      </w:r>
    </w:p>
    <w:p w:rsidR="0000747E" w:rsidRDefault="0000747E" w:rsidP="00FC72F1">
      <w:pPr>
        <w:pStyle w:val="ListParagraph"/>
        <w:numPr>
          <w:ilvl w:val="0"/>
          <w:numId w:val="10"/>
        </w:numPr>
        <w:spacing w:after="0"/>
        <w:contextualSpacing w:val="0"/>
        <w:jc w:val="both"/>
      </w:pPr>
      <w:r>
        <w:t xml:space="preserve">Annekatrin to follow up on GIZ supported Ebola clinic </w:t>
      </w:r>
    </w:p>
    <w:p w:rsidR="0000747E" w:rsidRDefault="0000747E" w:rsidP="00FC72F1">
      <w:pPr>
        <w:pStyle w:val="ListParagraph"/>
        <w:numPr>
          <w:ilvl w:val="0"/>
          <w:numId w:val="10"/>
        </w:numPr>
        <w:spacing w:after="0"/>
        <w:contextualSpacing w:val="0"/>
        <w:jc w:val="both"/>
      </w:pPr>
      <w:r>
        <w:t>Review functionality of microscopes used for TB diagnosis and the quality of related reagents</w:t>
      </w:r>
    </w:p>
    <w:p w:rsidR="00412F3B" w:rsidRDefault="00023331" w:rsidP="00FC72F1">
      <w:pPr>
        <w:pStyle w:val="ListParagraph"/>
        <w:numPr>
          <w:ilvl w:val="0"/>
          <w:numId w:val="10"/>
        </w:numPr>
        <w:spacing w:after="0"/>
        <w:contextualSpacing w:val="0"/>
        <w:jc w:val="both"/>
      </w:pPr>
      <w:r>
        <w:t>Define more clearly the interventions of NGOs. Better collaboration between NTP, STBP and TBVN</w:t>
      </w:r>
      <w:r w:rsidR="00D272AB">
        <w:t xml:space="preserve">, </w:t>
      </w:r>
      <w:r w:rsidR="0000747E">
        <w:t xml:space="preserve">proposal to include </w:t>
      </w:r>
      <w:r w:rsidR="00D272AB">
        <w:t xml:space="preserve">STBP </w:t>
      </w:r>
      <w:r w:rsidR="0000747E">
        <w:t>in</w:t>
      </w:r>
      <w:r w:rsidR="00D272AB">
        <w:t xml:space="preserve"> the OC meetings</w:t>
      </w:r>
    </w:p>
    <w:p w:rsidR="00243C0F" w:rsidRDefault="004577BF" w:rsidP="00FC72F1">
      <w:pPr>
        <w:pStyle w:val="ListParagraph"/>
        <w:numPr>
          <w:ilvl w:val="0"/>
          <w:numId w:val="10"/>
        </w:numPr>
        <w:spacing w:after="0"/>
        <w:contextualSpacing w:val="0"/>
        <w:jc w:val="both"/>
      </w:pPr>
      <w:r>
        <w:t>Review counselling skills at DOTS centers</w:t>
      </w:r>
      <w:r w:rsidR="0000747E">
        <w:t xml:space="preserve"> to enhance ART coverage among co-infected clients </w:t>
      </w:r>
    </w:p>
    <w:p w:rsidR="004577BF" w:rsidRDefault="004577BF" w:rsidP="00FC72F1">
      <w:pPr>
        <w:pStyle w:val="ListParagraph"/>
        <w:numPr>
          <w:ilvl w:val="0"/>
          <w:numId w:val="10"/>
        </w:numPr>
        <w:spacing w:after="0"/>
        <w:contextualSpacing w:val="0"/>
        <w:jc w:val="both"/>
      </w:pPr>
      <w:r>
        <w:t>CCM to follow up o</w:t>
      </w:r>
      <w:r w:rsidR="0000747E">
        <w:t>n</w:t>
      </w:r>
      <w:r>
        <w:t xml:space="preserve"> tax exemption</w:t>
      </w:r>
    </w:p>
    <w:p w:rsidR="00B67870" w:rsidRPr="00EB4D17" w:rsidRDefault="004577BF" w:rsidP="00EB4D17">
      <w:pPr>
        <w:pStyle w:val="ListParagraph"/>
        <w:numPr>
          <w:ilvl w:val="0"/>
          <w:numId w:val="10"/>
        </w:numPr>
        <w:spacing w:after="0"/>
        <w:contextualSpacing w:val="0"/>
        <w:jc w:val="both"/>
      </w:pPr>
      <w:r>
        <w:t>Review / revise indicators on DB</w:t>
      </w:r>
    </w:p>
    <w:p w:rsidR="00F957F5" w:rsidRPr="00962157" w:rsidRDefault="00F957F5" w:rsidP="00FC72F1">
      <w:pPr>
        <w:pStyle w:val="ListParagraph"/>
        <w:numPr>
          <w:ilvl w:val="0"/>
          <w:numId w:val="1"/>
        </w:numPr>
        <w:spacing w:before="240"/>
        <w:ind w:left="357" w:hanging="357"/>
        <w:contextualSpacing w:val="0"/>
        <w:jc w:val="both"/>
        <w:rPr>
          <w:b/>
          <w:sz w:val="24"/>
          <w:szCs w:val="24"/>
        </w:rPr>
      </w:pPr>
      <w:r>
        <w:rPr>
          <w:b/>
          <w:sz w:val="24"/>
          <w:szCs w:val="24"/>
        </w:rPr>
        <w:t>Closing</w:t>
      </w:r>
    </w:p>
    <w:p w:rsidR="00D96870" w:rsidRDefault="00F957F5" w:rsidP="00F957F5">
      <w:pPr>
        <w:jc w:val="both"/>
      </w:pPr>
      <w:r>
        <w:t>The meeting came to a close at about</w:t>
      </w:r>
      <w:r w:rsidR="007A55C0">
        <w:t xml:space="preserve"> </w:t>
      </w:r>
      <w:r w:rsidR="0000747E">
        <w:t>13:30</w:t>
      </w:r>
      <w:r w:rsidR="009D16BD">
        <w:t xml:space="preserve">. </w:t>
      </w: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D9D" w:rsidRDefault="009C6D9D" w:rsidP="007D2F92">
      <w:pPr>
        <w:spacing w:after="0" w:line="240" w:lineRule="auto"/>
      </w:pPr>
      <w:r>
        <w:separator/>
      </w:r>
    </w:p>
  </w:endnote>
  <w:endnote w:type="continuationSeparator" w:id="0">
    <w:p w:rsidR="009C6D9D" w:rsidRDefault="009C6D9D"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186A2C" w:rsidRDefault="00186A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7859">
          <w:rPr>
            <w:noProof/>
          </w:rPr>
          <w:t>14</w:t>
        </w:r>
        <w:r>
          <w:rPr>
            <w:noProof/>
          </w:rPr>
          <w:fldChar w:fldCharType="end"/>
        </w:r>
        <w:r>
          <w:t xml:space="preserve"> | </w:t>
        </w:r>
        <w:r>
          <w:rPr>
            <w:color w:val="808080" w:themeColor="background1" w:themeShade="80"/>
            <w:spacing w:val="60"/>
          </w:rPr>
          <w:t>Page</w:t>
        </w:r>
      </w:p>
    </w:sdtContent>
  </w:sdt>
  <w:p w:rsidR="00186A2C" w:rsidRDefault="00186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D9D" w:rsidRDefault="009C6D9D" w:rsidP="007D2F92">
      <w:pPr>
        <w:spacing w:after="0" w:line="240" w:lineRule="auto"/>
      </w:pPr>
      <w:r>
        <w:separator/>
      </w:r>
    </w:p>
  </w:footnote>
  <w:footnote w:type="continuationSeparator" w:id="0">
    <w:p w:rsidR="009C6D9D" w:rsidRDefault="009C6D9D" w:rsidP="007D2F92">
      <w:pPr>
        <w:spacing w:after="0" w:line="240" w:lineRule="auto"/>
      </w:pPr>
      <w:r>
        <w:continuationSeparator/>
      </w:r>
    </w:p>
  </w:footnote>
  <w:footnote w:id="1">
    <w:p w:rsidR="005A72FC" w:rsidRDefault="005A72FC">
      <w:pPr>
        <w:pStyle w:val="FootnoteText"/>
      </w:pPr>
      <w:r>
        <w:rPr>
          <w:rStyle w:val="FootnoteReference"/>
        </w:rPr>
        <w:footnoteRef/>
      </w:r>
      <w:r>
        <w:t xml:space="preserve"> New information recently provided by NTP revealed that the order process was initiated in the end of January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7.4pt;height:651.15pt" o:bullet="t">
        <v:imagedata r:id="rId1" o:title="art9D72"/>
      </v:shape>
    </w:pict>
  </w:numPicBullet>
  <w:abstractNum w:abstractNumId="0" w15:restartNumberingAfterBreak="0">
    <w:nsid w:val="0A6E5592"/>
    <w:multiLevelType w:val="hybridMultilevel"/>
    <w:tmpl w:val="24A42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8A41036"/>
    <w:multiLevelType w:val="hybridMultilevel"/>
    <w:tmpl w:val="37BA248C"/>
    <w:lvl w:ilvl="0" w:tplc="9AF2DED0">
      <w:start w:val="1"/>
      <w:numFmt w:val="bullet"/>
      <w:lvlText w:val=""/>
      <w:lvlPicBulletId w:val="0"/>
      <w:lvlJc w:val="left"/>
      <w:pPr>
        <w:tabs>
          <w:tab w:val="num" w:pos="720"/>
        </w:tabs>
        <w:ind w:left="720" w:hanging="360"/>
      </w:pPr>
      <w:rPr>
        <w:rFonts w:ascii="Symbol" w:hAnsi="Symbol" w:hint="default"/>
      </w:rPr>
    </w:lvl>
    <w:lvl w:ilvl="1" w:tplc="5C208F4C">
      <w:numFmt w:val="bullet"/>
      <w:lvlText w:val="•"/>
      <w:lvlJc w:val="left"/>
      <w:pPr>
        <w:tabs>
          <w:tab w:val="num" w:pos="1440"/>
        </w:tabs>
        <w:ind w:left="1440" w:hanging="360"/>
      </w:pPr>
      <w:rPr>
        <w:rFonts w:ascii="Arial" w:hAnsi="Arial" w:hint="default"/>
      </w:rPr>
    </w:lvl>
    <w:lvl w:ilvl="2" w:tplc="EC6EFC92" w:tentative="1">
      <w:start w:val="1"/>
      <w:numFmt w:val="bullet"/>
      <w:lvlText w:val=""/>
      <w:lvlPicBulletId w:val="0"/>
      <w:lvlJc w:val="left"/>
      <w:pPr>
        <w:tabs>
          <w:tab w:val="num" w:pos="2160"/>
        </w:tabs>
        <w:ind w:left="2160" w:hanging="360"/>
      </w:pPr>
      <w:rPr>
        <w:rFonts w:ascii="Symbol" w:hAnsi="Symbol" w:hint="default"/>
      </w:rPr>
    </w:lvl>
    <w:lvl w:ilvl="3" w:tplc="FA647904" w:tentative="1">
      <w:start w:val="1"/>
      <w:numFmt w:val="bullet"/>
      <w:lvlText w:val=""/>
      <w:lvlPicBulletId w:val="0"/>
      <w:lvlJc w:val="left"/>
      <w:pPr>
        <w:tabs>
          <w:tab w:val="num" w:pos="2880"/>
        </w:tabs>
        <w:ind w:left="2880" w:hanging="360"/>
      </w:pPr>
      <w:rPr>
        <w:rFonts w:ascii="Symbol" w:hAnsi="Symbol" w:hint="default"/>
      </w:rPr>
    </w:lvl>
    <w:lvl w:ilvl="4" w:tplc="2A2EAD46" w:tentative="1">
      <w:start w:val="1"/>
      <w:numFmt w:val="bullet"/>
      <w:lvlText w:val=""/>
      <w:lvlPicBulletId w:val="0"/>
      <w:lvlJc w:val="left"/>
      <w:pPr>
        <w:tabs>
          <w:tab w:val="num" w:pos="3600"/>
        </w:tabs>
        <w:ind w:left="3600" w:hanging="360"/>
      </w:pPr>
      <w:rPr>
        <w:rFonts w:ascii="Symbol" w:hAnsi="Symbol" w:hint="default"/>
      </w:rPr>
    </w:lvl>
    <w:lvl w:ilvl="5" w:tplc="F0B26F80" w:tentative="1">
      <w:start w:val="1"/>
      <w:numFmt w:val="bullet"/>
      <w:lvlText w:val=""/>
      <w:lvlPicBulletId w:val="0"/>
      <w:lvlJc w:val="left"/>
      <w:pPr>
        <w:tabs>
          <w:tab w:val="num" w:pos="4320"/>
        </w:tabs>
        <w:ind w:left="4320" w:hanging="360"/>
      </w:pPr>
      <w:rPr>
        <w:rFonts w:ascii="Symbol" w:hAnsi="Symbol" w:hint="default"/>
      </w:rPr>
    </w:lvl>
    <w:lvl w:ilvl="6" w:tplc="E11477EC" w:tentative="1">
      <w:start w:val="1"/>
      <w:numFmt w:val="bullet"/>
      <w:lvlText w:val=""/>
      <w:lvlPicBulletId w:val="0"/>
      <w:lvlJc w:val="left"/>
      <w:pPr>
        <w:tabs>
          <w:tab w:val="num" w:pos="5040"/>
        </w:tabs>
        <w:ind w:left="5040" w:hanging="360"/>
      </w:pPr>
      <w:rPr>
        <w:rFonts w:ascii="Symbol" w:hAnsi="Symbol" w:hint="default"/>
      </w:rPr>
    </w:lvl>
    <w:lvl w:ilvl="7" w:tplc="0C28B49C" w:tentative="1">
      <w:start w:val="1"/>
      <w:numFmt w:val="bullet"/>
      <w:lvlText w:val=""/>
      <w:lvlPicBulletId w:val="0"/>
      <w:lvlJc w:val="left"/>
      <w:pPr>
        <w:tabs>
          <w:tab w:val="num" w:pos="5760"/>
        </w:tabs>
        <w:ind w:left="5760" w:hanging="360"/>
      </w:pPr>
      <w:rPr>
        <w:rFonts w:ascii="Symbol" w:hAnsi="Symbol" w:hint="default"/>
      </w:rPr>
    </w:lvl>
    <w:lvl w:ilvl="8" w:tplc="6B421F5C"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5B30E1F"/>
    <w:multiLevelType w:val="hybridMultilevel"/>
    <w:tmpl w:val="D7DC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F0FAC"/>
    <w:multiLevelType w:val="hybridMultilevel"/>
    <w:tmpl w:val="D6700440"/>
    <w:lvl w:ilvl="0" w:tplc="866E99F4">
      <w:start w:val="1"/>
      <w:numFmt w:val="bullet"/>
      <w:lvlText w:val="•"/>
      <w:lvlJc w:val="left"/>
      <w:pPr>
        <w:tabs>
          <w:tab w:val="num" w:pos="720"/>
        </w:tabs>
        <w:ind w:left="720" w:hanging="360"/>
      </w:pPr>
      <w:rPr>
        <w:rFonts w:ascii="Arial" w:hAnsi="Arial" w:hint="default"/>
      </w:rPr>
    </w:lvl>
    <w:lvl w:ilvl="1" w:tplc="D368E6C0">
      <w:start w:val="1"/>
      <w:numFmt w:val="bullet"/>
      <w:lvlText w:val="•"/>
      <w:lvlJc w:val="left"/>
      <w:pPr>
        <w:tabs>
          <w:tab w:val="num" w:pos="1440"/>
        </w:tabs>
        <w:ind w:left="1440" w:hanging="360"/>
      </w:pPr>
      <w:rPr>
        <w:rFonts w:ascii="Arial" w:hAnsi="Arial" w:hint="default"/>
      </w:rPr>
    </w:lvl>
    <w:lvl w:ilvl="2" w:tplc="14CAD2B8" w:tentative="1">
      <w:start w:val="1"/>
      <w:numFmt w:val="bullet"/>
      <w:lvlText w:val="•"/>
      <w:lvlJc w:val="left"/>
      <w:pPr>
        <w:tabs>
          <w:tab w:val="num" w:pos="2160"/>
        </w:tabs>
        <w:ind w:left="2160" w:hanging="360"/>
      </w:pPr>
      <w:rPr>
        <w:rFonts w:ascii="Arial" w:hAnsi="Arial" w:hint="default"/>
      </w:rPr>
    </w:lvl>
    <w:lvl w:ilvl="3" w:tplc="95BE0B32" w:tentative="1">
      <w:start w:val="1"/>
      <w:numFmt w:val="bullet"/>
      <w:lvlText w:val="•"/>
      <w:lvlJc w:val="left"/>
      <w:pPr>
        <w:tabs>
          <w:tab w:val="num" w:pos="2880"/>
        </w:tabs>
        <w:ind w:left="2880" w:hanging="360"/>
      </w:pPr>
      <w:rPr>
        <w:rFonts w:ascii="Arial" w:hAnsi="Arial" w:hint="default"/>
      </w:rPr>
    </w:lvl>
    <w:lvl w:ilvl="4" w:tplc="F0488F5A" w:tentative="1">
      <w:start w:val="1"/>
      <w:numFmt w:val="bullet"/>
      <w:lvlText w:val="•"/>
      <w:lvlJc w:val="left"/>
      <w:pPr>
        <w:tabs>
          <w:tab w:val="num" w:pos="3600"/>
        </w:tabs>
        <w:ind w:left="3600" w:hanging="360"/>
      </w:pPr>
      <w:rPr>
        <w:rFonts w:ascii="Arial" w:hAnsi="Arial" w:hint="default"/>
      </w:rPr>
    </w:lvl>
    <w:lvl w:ilvl="5" w:tplc="0B760B2E" w:tentative="1">
      <w:start w:val="1"/>
      <w:numFmt w:val="bullet"/>
      <w:lvlText w:val="•"/>
      <w:lvlJc w:val="left"/>
      <w:pPr>
        <w:tabs>
          <w:tab w:val="num" w:pos="4320"/>
        </w:tabs>
        <w:ind w:left="4320" w:hanging="360"/>
      </w:pPr>
      <w:rPr>
        <w:rFonts w:ascii="Arial" w:hAnsi="Arial" w:hint="default"/>
      </w:rPr>
    </w:lvl>
    <w:lvl w:ilvl="6" w:tplc="5B4E1B56" w:tentative="1">
      <w:start w:val="1"/>
      <w:numFmt w:val="bullet"/>
      <w:lvlText w:val="•"/>
      <w:lvlJc w:val="left"/>
      <w:pPr>
        <w:tabs>
          <w:tab w:val="num" w:pos="5040"/>
        </w:tabs>
        <w:ind w:left="5040" w:hanging="360"/>
      </w:pPr>
      <w:rPr>
        <w:rFonts w:ascii="Arial" w:hAnsi="Arial" w:hint="default"/>
      </w:rPr>
    </w:lvl>
    <w:lvl w:ilvl="7" w:tplc="3468FA8E" w:tentative="1">
      <w:start w:val="1"/>
      <w:numFmt w:val="bullet"/>
      <w:lvlText w:val="•"/>
      <w:lvlJc w:val="left"/>
      <w:pPr>
        <w:tabs>
          <w:tab w:val="num" w:pos="5760"/>
        </w:tabs>
        <w:ind w:left="5760" w:hanging="360"/>
      </w:pPr>
      <w:rPr>
        <w:rFonts w:ascii="Arial" w:hAnsi="Arial" w:hint="default"/>
      </w:rPr>
    </w:lvl>
    <w:lvl w:ilvl="8" w:tplc="CDB2C2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E171E9"/>
    <w:multiLevelType w:val="hybridMultilevel"/>
    <w:tmpl w:val="A136409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CF2C45"/>
    <w:multiLevelType w:val="hybridMultilevel"/>
    <w:tmpl w:val="1C9A9B7C"/>
    <w:lvl w:ilvl="0" w:tplc="60BECCE4">
      <w:start w:val="1"/>
      <w:numFmt w:val="bullet"/>
      <w:lvlText w:val=""/>
      <w:lvlPicBulletId w:val="0"/>
      <w:lvlJc w:val="left"/>
      <w:pPr>
        <w:tabs>
          <w:tab w:val="num" w:pos="720"/>
        </w:tabs>
        <w:ind w:left="720" w:hanging="360"/>
      </w:pPr>
      <w:rPr>
        <w:rFonts w:ascii="Symbol" w:hAnsi="Symbol" w:hint="default"/>
      </w:rPr>
    </w:lvl>
    <w:lvl w:ilvl="1" w:tplc="F05A6CAE" w:tentative="1">
      <w:start w:val="1"/>
      <w:numFmt w:val="bullet"/>
      <w:lvlText w:val=""/>
      <w:lvlPicBulletId w:val="0"/>
      <w:lvlJc w:val="left"/>
      <w:pPr>
        <w:tabs>
          <w:tab w:val="num" w:pos="1440"/>
        </w:tabs>
        <w:ind w:left="1440" w:hanging="360"/>
      </w:pPr>
      <w:rPr>
        <w:rFonts w:ascii="Symbol" w:hAnsi="Symbol" w:hint="default"/>
      </w:rPr>
    </w:lvl>
    <w:lvl w:ilvl="2" w:tplc="C13E0AD6" w:tentative="1">
      <w:start w:val="1"/>
      <w:numFmt w:val="bullet"/>
      <w:lvlText w:val=""/>
      <w:lvlPicBulletId w:val="0"/>
      <w:lvlJc w:val="left"/>
      <w:pPr>
        <w:tabs>
          <w:tab w:val="num" w:pos="2160"/>
        </w:tabs>
        <w:ind w:left="2160" w:hanging="360"/>
      </w:pPr>
      <w:rPr>
        <w:rFonts w:ascii="Symbol" w:hAnsi="Symbol" w:hint="default"/>
      </w:rPr>
    </w:lvl>
    <w:lvl w:ilvl="3" w:tplc="26E80F66" w:tentative="1">
      <w:start w:val="1"/>
      <w:numFmt w:val="bullet"/>
      <w:lvlText w:val=""/>
      <w:lvlPicBulletId w:val="0"/>
      <w:lvlJc w:val="left"/>
      <w:pPr>
        <w:tabs>
          <w:tab w:val="num" w:pos="2880"/>
        </w:tabs>
        <w:ind w:left="2880" w:hanging="360"/>
      </w:pPr>
      <w:rPr>
        <w:rFonts w:ascii="Symbol" w:hAnsi="Symbol" w:hint="default"/>
      </w:rPr>
    </w:lvl>
    <w:lvl w:ilvl="4" w:tplc="FC944C62" w:tentative="1">
      <w:start w:val="1"/>
      <w:numFmt w:val="bullet"/>
      <w:lvlText w:val=""/>
      <w:lvlPicBulletId w:val="0"/>
      <w:lvlJc w:val="left"/>
      <w:pPr>
        <w:tabs>
          <w:tab w:val="num" w:pos="3600"/>
        </w:tabs>
        <w:ind w:left="3600" w:hanging="360"/>
      </w:pPr>
      <w:rPr>
        <w:rFonts w:ascii="Symbol" w:hAnsi="Symbol" w:hint="default"/>
      </w:rPr>
    </w:lvl>
    <w:lvl w:ilvl="5" w:tplc="99049C50" w:tentative="1">
      <w:start w:val="1"/>
      <w:numFmt w:val="bullet"/>
      <w:lvlText w:val=""/>
      <w:lvlPicBulletId w:val="0"/>
      <w:lvlJc w:val="left"/>
      <w:pPr>
        <w:tabs>
          <w:tab w:val="num" w:pos="4320"/>
        </w:tabs>
        <w:ind w:left="4320" w:hanging="360"/>
      </w:pPr>
      <w:rPr>
        <w:rFonts w:ascii="Symbol" w:hAnsi="Symbol" w:hint="default"/>
      </w:rPr>
    </w:lvl>
    <w:lvl w:ilvl="6" w:tplc="2AFEDD06" w:tentative="1">
      <w:start w:val="1"/>
      <w:numFmt w:val="bullet"/>
      <w:lvlText w:val=""/>
      <w:lvlPicBulletId w:val="0"/>
      <w:lvlJc w:val="left"/>
      <w:pPr>
        <w:tabs>
          <w:tab w:val="num" w:pos="5040"/>
        </w:tabs>
        <w:ind w:left="5040" w:hanging="360"/>
      </w:pPr>
      <w:rPr>
        <w:rFonts w:ascii="Symbol" w:hAnsi="Symbol" w:hint="default"/>
      </w:rPr>
    </w:lvl>
    <w:lvl w:ilvl="7" w:tplc="AE021450" w:tentative="1">
      <w:start w:val="1"/>
      <w:numFmt w:val="bullet"/>
      <w:lvlText w:val=""/>
      <w:lvlPicBulletId w:val="0"/>
      <w:lvlJc w:val="left"/>
      <w:pPr>
        <w:tabs>
          <w:tab w:val="num" w:pos="5760"/>
        </w:tabs>
        <w:ind w:left="5760" w:hanging="360"/>
      </w:pPr>
      <w:rPr>
        <w:rFonts w:ascii="Symbol" w:hAnsi="Symbol" w:hint="default"/>
      </w:rPr>
    </w:lvl>
    <w:lvl w:ilvl="8" w:tplc="B1D48C3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5DB3626"/>
    <w:multiLevelType w:val="hybridMultilevel"/>
    <w:tmpl w:val="0666DA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973690"/>
    <w:multiLevelType w:val="hybridMultilevel"/>
    <w:tmpl w:val="DC2AE044"/>
    <w:lvl w:ilvl="0" w:tplc="241A6EDA">
      <w:start w:val="1"/>
      <w:numFmt w:val="bullet"/>
      <w:lvlText w:val=""/>
      <w:lvlPicBulletId w:val="0"/>
      <w:lvlJc w:val="left"/>
      <w:pPr>
        <w:tabs>
          <w:tab w:val="num" w:pos="720"/>
        </w:tabs>
        <w:ind w:left="720" w:hanging="360"/>
      </w:pPr>
      <w:rPr>
        <w:rFonts w:ascii="Symbol" w:hAnsi="Symbol" w:hint="default"/>
      </w:rPr>
    </w:lvl>
    <w:lvl w:ilvl="1" w:tplc="2BEAF6EC">
      <w:start w:val="1"/>
      <w:numFmt w:val="decimal"/>
      <w:lvlText w:val="%2."/>
      <w:lvlJc w:val="left"/>
      <w:pPr>
        <w:tabs>
          <w:tab w:val="num" w:pos="1440"/>
        </w:tabs>
        <w:ind w:left="1440" w:hanging="360"/>
      </w:pPr>
    </w:lvl>
    <w:lvl w:ilvl="2" w:tplc="80165440" w:tentative="1">
      <w:start w:val="1"/>
      <w:numFmt w:val="bullet"/>
      <w:lvlText w:val=""/>
      <w:lvlPicBulletId w:val="0"/>
      <w:lvlJc w:val="left"/>
      <w:pPr>
        <w:tabs>
          <w:tab w:val="num" w:pos="2160"/>
        </w:tabs>
        <w:ind w:left="2160" w:hanging="360"/>
      </w:pPr>
      <w:rPr>
        <w:rFonts w:ascii="Symbol" w:hAnsi="Symbol" w:hint="default"/>
      </w:rPr>
    </w:lvl>
    <w:lvl w:ilvl="3" w:tplc="75385428" w:tentative="1">
      <w:start w:val="1"/>
      <w:numFmt w:val="bullet"/>
      <w:lvlText w:val=""/>
      <w:lvlPicBulletId w:val="0"/>
      <w:lvlJc w:val="left"/>
      <w:pPr>
        <w:tabs>
          <w:tab w:val="num" w:pos="2880"/>
        </w:tabs>
        <w:ind w:left="2880" w:hanging="360"/>
      </w:pPr>
      <w:rPr>
        <w:rFonts w:ascii="Symbol" w:hAnsi="Symbol" w:hint="default"/>
      </w:rPr>
    </w:lvl>
    <w:lvl w:ilvl="4" w:tplc="D8AA7F7C" w:tentative="1">
      <w:start w:val="1"/>
      <w:numFmt w:val="bullet"/>
      <w:lvlText w:val=""/>
      <w:lvlPicBulletId w:val="0"/>
      <w:lvlJc w:val="left"/>
      <w:pPr>
        <w:tabs>
          <w:tab w:val="num" w:pos="3600"/>
        </w:tabs>
        <w:ind w:left="3600" w:hanging="360"/>
      </w:pPr>
      <w:rPr>
        <w:rFonts w:ascii="Symbol" w:hAnsi="Symbol" w:hint="default"/>
      </w:rPr>
    </w:lvl>
    <w:lvl w:ilvl="5" w:tplc="35F2CD02" w:tentative="1">
      <w:start w:val="1"/>
      <w:numFmt w:val="bullet"/>
      <w:lvlText w:val=""/>
      <w:lvlPicBulletId w:val="0"/>
      <w:lvlJc w:val="left"/>
      <w:pPr>
        <w:tabs>
          <w:tab w:val="num" w:pos="4320"/>
        </w:tabs>
        <w:ind w:left="4320" w:hanging="360"/>
      </w:pPr>
      <w:rPr>
        <w:rFonts w:ascii="Symbol" w:hAnsi="Symbol" w:hint="default"/>
      </w:rPr>
    </w:lvl>
    <w:lvl w:ilvl="6" w:tplc="3A0E7DA2" w:tentative="1">
      <w:start w:val="1"/>
      <w:numFmt w:val="bullet"/>
      <w:lvlText w:val=""/>
      <w:lvlPicBulletId w:val="0"/>
      <w:lvlJc w:val="left"/>
      <w:pPr>
        <w:tabs>
          <w:tab w:val="num" w:pos="5040"/>
        </w:tabs>
        <w:ind w:left="5040" w:hanging="360"/>
      </w:pPr>
      <w:rPr>
        <w:rFonts w:ascii="Symbol" w:hAnsi="Symbol" w:hint="default"/>
      </w:rPr>
    </w:lvl>
    <w:lvl w:ilvl="7" w:tplc="195EAC9A" w:tentative="1">
      <w:start w:val="1"/>
      <w:numFmt w:val="bullet"/>
      <w:lvlText w:val=""/>
      <w:lvlPicBulletId w:val="0"/>
      <w:lvlJc w:val="left"/>
      <w:pPr>
        <w:tabs>
          <w:tab w:val="num" w:pos="5760"/>
        </w:tabs>
        <w:ind w:left="5760" w:hanging="360"/>
      </w:pPr>
      <w:rPr>
        <w:rFonts w:ascii="Symbol" w:hAnsi="Symbol" w:hint="default"/>
      </w:rPr>
    </w:lvl>
    <w:lvl w:ilvl="8" w:tplc="1DB2BBA4"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9D4DA2"/>
    <w:multiLevelType w:val="hybridMultilevel"/>
    <w:tmpl w:val="24B69FC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7BCF0AFA"/>
    <w:multiLevelType w:val="hybridMultilevel"/>
    <w:tmpl w:val="3434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0450A9"/>
    <w:multiLevelType w:val="hybridMultilevel"/>
    <w:tmpl w:val="48E4C3E8"/>
    <w:lvl w:ilvl="0" w:tplc="04090001">
      <w:start w:val="1"/>
      <w:numFmt w:val="bullet"/>
      <w:lvlText w:val=""/>
      <w:lvlJc w:val="left"/>
      <w:pPr>
        <w:ind w:left="717" w:hanging="360"/>
      </w:pPr>
      <w:rPr>
        <w:rFonts w:ascii="Symbol" w:hAnsi="Symbol" w:hint="default"/>
      </w:rPr>
    </w:lvl>
    <w:lvl w:ilvl="1" w:tplc="04090001">
      <w:start w:val="1"/>
      <w:numFmt w:val="bullet"/>
      <w:lvlText w:val=""/>
      <w:lvlJc w:val="left"/>
      <w:pPr>
        <w:ind w:left="1437" w:hanging="360"/>
      </w:pPr>
      <w:rPr>
        <w:rFonts w:ascii="Symbol" w:hAnsi="Symbol"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8"/>
  </w:num>
  <w:num w:numId="2">
    <w:abstractNumId w:val="18"/>
  </w:num>
  <w:num w:numId="3">
    <w:abstractNumId w:val="13"/>
  </w:num>
  <w:num w:numId="4">
    <w:abstractNumId w:val="7"/>
  </w:num>
  <w:num w:numId="5">
    <w:abstractNumId w:val="17"/>
  </w:num>
  <w:num w:numId="6">
    <w:abstractNumId w:val="14"/>
  </w:num>
  <w:num w:numId="7">
    <w:abstractNumId w:val="15"/>
  </w:num>
  <w:num w:numId="8">
    <w:abstractNumId w:val="19"/>
  </w:num>
  <w:num w:numId="9">
    <w:abstractNumId w:val="9"/>
  </w:num>
  <w:num w:numId="10">
    <w:abstractNumId w:val="16"/>
  </w:num>
  <w:num w:numId="11">
    <w:abstractNumId w:val="1"/>
  </w:num>
  <w:num w:numId="12">
    <w:abstractNumId w:val="2"/>
  </w:num>
  <w:num w:numId="13">
    <w:abstractNumId w:val="11"/>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num>
  <w:num w:numId="17">
    <w:abstractNumId w:val="20"/>
  </w:num>
  <w:num w:numId="18">
    <w:abstractNumId w:val="5"/>
  </w:num>
  <w:num w:numId="19">
    <w:abstractNumId w:val="3"/>
  </w:num>
  <w:num w:numId="20">
    <w:abstractNumId w:val="10"/>
  </w:num>
  <w:num w:numId="21">
    <w:abstractNumId w:val="12"/>
  </w:num>
  <w:num w:numId="22">
    <w:abstractNumId w:val="0"/>
  </w:num>
  <w:num w:numId="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156A"/>
    <w:rsid w:val="0000747E"/>
    <w:rsid w:val="0001151B"/>
    <w:rsid w:val="00016119"/>
    <w:rsid w:val="00022A9E"/>
    <w:rsid w:val="00023331"/>
    <w:rsid w:val="00027F91"/>
    <w:rsid w:val="00030B1C"/>
    <w:rsid w:val="00030F66"/>
    <w:rsid w:val="000328A6"/>
    <w:rsid w:val="000334EA"/>
    <w:rsid w:val="000335D7"/>
    <w:rsid w:val="0004237F"/>
    <w:rsid w:val="000424A8"/>
    <w:rsid w:val="00043AFF"/>
    <w:rsid w:val="000505AC"/>
    <w:rsid w:val="00052103"/>
    <w:rsid w:val="00052CD1"/>
    <w:rsid w:val="00055371"/>
    <w:rsid w:val="000624D6"/>
    <w:rsid w:val="00066C73"/>
    <w:rsid w:val="00071A00"/>
    <w:rsid w:val="00072DEC"/>
    <w:rsid w:val="000733E2"/>
    <w:rsid w:val="00084A30"/>
    <w:rsid w:val="000861DD"/>
    <w:rsid w:val="00097AA7"/>
    <w:rsid w:val="000A4014"/>
    <w:rsid w:val="000A45D3"/>
    <w:rsid w:val="000A4B0E"/>
    <w:rsid w:val="000D1BE1"/>
    <w:rsid w:val="000D212F"/>
    <w:rsid w:val="000D6A4C"/>
    <w:rsid w:val="000E1410"/>
    <w:rsid w:val="000E205E"/>
    <w:rsid w:val="000E3E05"/>
    <w:rsid w:val="000F2954"/>
    <w:rsid w:val="000F2CFB"/>
    <w:rsid w:val="00103A15"/>
    <w:rsid w:val="00103DFD"/>
    <w:rsid w:val="00104381"/>
    <w:rsid w:val="001119CE"/>
    <w:rsid w:val="00112A3F"/>
    <w:rsid w:val="00112EF8"/>
    <w:rsid w:val="001137E2"/>
    <w:rsid w:val="001174A8"/>
    <w:rsid w:val="0011782F"/>
    <w:rsid w:val="00120B73"/>
    <w:rsid w:val="00121BA0"/>
    <w:rsid w:val="001235BF"/>
    <w:rsid w:val="00124406"/>
    <w:rsid w:val="00125657"/>
    <w:rsid w:val="001257C1"/>
    <w:rsid w:val="001308D1"/>
    <w:rsid w:val="00131B07"/>
    <w:rsid w:val="001354E2"/>
    <w:rsid w:val="00136320"/>
    <w:rsid w:val="00140C51"/>
    <w:rsid w:val="001410F1"/>
    <w:rsid w:val="00142093"/>
    <w:rsid w:val="00143759"/>
    <w:rsid w:val="0014456C"/>
    <w:rsid w:val="00144B79"/>
    <w:rsid w:val="00150307"/>
    <w:rsid w:val="0015382A"/>
    <w:rsid w:val="00155051"/>
    <w:rsid w:val="00155540"/>
    <w:rsid w:val="001571F6"/>
    <w:rsid w:val="00160DA5"/>
    <w:rsid w:val="001616CE"/>
    <w:rsid w:val="0016384D"/>
    <w:rsid w:val="0016493C"/>
    <w:rsid w:val="00167B82"/>
    <w:rsid w:val="0017266D"/>
    <w:rsid w:val="00172978"/>
    <w:rsid w:val="0017760A"/>
    <w:rsid w:val="00180A48"/>
    <w:rsid w:val="00183683"/>
    <w:rsid w:val="0018603A"/>
    <w:rsid w:val="0018611B"/>
    <w:rsid w:val="00186A2C"/>
    <w:rsid w:val="0019147D"/>
    <w:rsid w:val="00191AD2"/>
    <w:rsid w:val="001A1590"/>
    <w:rsid w:val="001B26C1"/>
    <w:rsid w:val="001B3329"/>
    <w:rsid w:val="001B6619"/>
    <w:rsid w:val="001C3DD3"/>
    <w:rsid w:val="001C4D73"/>
    <w:rsid w:val="001C6EBF"/>
    <w:rsid w:val="001C70F8"/>
    <w:rsid w:val="001D386C"/>
    <w:rsid w:val="001D7D11"/>
    <w:rsid w:val="001E533C"/>
    <w:rsid w:val="001E6AC9"/>
    <w:rsid w:val="001F0A2C"/>
    <w:rsid w:val="001F226D"/>
    <w:rsid w:val="001F7E5F"/>
    <w:rsid w:val="00203B69"/>
    <w:rsid w:val="00204810"/>
    <w:rsid w:val="00207B72"/>
    <w:rsid w:val="00210FC5"/>
    <w:rsid w:val="00217A9B"/>
    <w:rsid w:val="0022536D"/>
    <w:rsid w:val="00226C88"/>
    <w:rsid w:val="00230DBB"/>
    <w:rsid w:val="00235D4A"/>
    <w:rsid w:val="00243403"/>
    <w:rsid w:val="00243C0F"/>
    <w:rsid w:val="00246328"/>
    <w:rsid w:val="00254E5A"/>
    <w:rsid w:val="00260D71"/>
    <w:rsid w:val="00262A9E"/>
    <w:rsid w:val="00262CD9"/>
    <w:rsid w:val="00263992"/>
    <w:rsid w:val="002652F1"/>
    <w:rsid w:val="00265594"/>
    <w:rsid w:val="002663FA"/>
    <w:rsid w:val="002742A0"/>
    <w:rsid w:val="0028266C"/>
    <w:rsid w:val="002A1E67"/>
    <w:rsid w:val="002A1F64"/>
    <w:rsid w:val="002A4A25"/>
    <w:rsid w:val="002A5DD9"/>
    <w:rsid w:val="002A6CB3"/>
    <w:rsid w:val="002B58B7"/>
    <w:rsid w:val="002C1F2A"/>
    <w:rsid w:val="002C3657"/>
    <w:rsid w:val="002C4B55"/>
    <w:rsid w:val="002C6680"/>
    <w:rsid w:val="002D2521"/>
    <w:rsid w:val="002D2D73"/>
    <w:rsid w:val="002D462E"/>
    <w:rsid w:val="002E53D4"/>
    <w:rsid w:val="002F43A1"/>
    <w:rsid w:val="002F666E"/>
    <w:rsid w:val="00303D6C"/>
    <w:rsid w:val="003151C7"/>
    <w:rsid w:val="00316100"/>
    <w:rsid w:val="003350D7"/>
    <w:rsid w:val="00336704"/>
    <w:rsid w:val="003368A6"/>
    <w:rsid w:val="00341992"/>
    <w:rsid w:val="003515CA"/>
    <w:rsid w:val="0035486F"/>
    <w:rsid w:val="00365626"/>
    <w:rsid w:val="003756BB"/>
    <w:rsid w:val="003757B6"/>
    <w:rsid w:val="00376B3A"/>
    <w:rsid w:val="003773E1"/>
    <w:rsid w:val="00383205"/>
    <w:rsid w:val="003855BA"/>
    <w:rsid w:val="00390660"/>
    <w:rsid w:val="00390D44"/>
    <w:rsid w:val="0039646F"/>
    <w:rsid w:val="003A5350"/>
    <w:rsid w:val="003A5E41"/>
    <w:rsid w:val="003B20B8"/>
    <w:rsid w:val="003B4944"/>
    <w:rsid w:val="003B5604"/>
    <w:rsid w:val="003B58A3"/>
    <w:rsid w:val="003B5B1A"/>
    <w:rsid w:val="003B63FB"/>
    <w:rsid w:val="003C00AE"/>
    <w:rsid w:val="003C6BC3"/>
    <w:rsid w:val="003D464B"/>
    <w:rsid w:val="003D62BE"/>
    <w:rsid w:val="003E0662"/>
    <w:rsid w:val="003E068B"/>
    <w:rsid w:val="003E5243"/>
    <w:rsid w:val="003F043E"/>
    <w:rsid w:val="003F230A"/>
    <w:rsid w:val="003F27D4"/>
    <w:rsid w:val="003F712E"/>
    <w:rsid w:val="00403A95"/>
    <w:rsid w:val="00407E6E"/>
    <w:rsid w:val="004102B0"/>
    <w:rsid w:val="004116E9"/>
    <w:rsid w:val="0041178B"/>
    <w:rsid w:val="00412F3B"/>
    <w:rsid w:val="00420E00"/>
    <w:rsid w:val="00420FAD"/>
    <w:rsid w:val="00421D97"/>
    <w:rsid w:val="00421F47"/>
    <w:rsid w:val="00433872"/>
    <w:rsid w:val="004339B8"/>
    <w:rsid w:val="00435CE1"/>
    <w:rsid w:val="004369B5"/>
    <w:rsid w:val="00437D5E"/>
    <w:rsid w:val="004405F5"/>
    <w:rsid w:val="00440AFB"/>
    <w:rsid w:val="00445BFD"/>
    <w:rsid w:val="0045012F"/>
    <w:rsid w:val="00450A82"/>
    <w:rsid w:val="00451475"/>
    <w:rsid w:val="00451E2B"/>
    <w:rsid w:val="00456BDF"/>
    <w:rsid w:val="00457244"/>
    <w:rsid w:val="004577BF"/>
    <w:rsid w:val="00463ABD"/>
    <w:rsid w:val="004678FE"/>
    <w:rsid w:val="00467A06"/>
    <w:rsid w:val="0047193D"/>
    <w:rsid w:val="0047227B"/>
    <w:rsid w:val="00476E33"/>
    <w:rsid w:val="00480277"/>
    <w:rsid w:val="0048181D"/>
    <w:rsid w:val="00481F7F"/>
    <w:rsid w:val="00487715"/>
    <w:rsid w:val="00487AD4"/>
    <w:rsid w:val="0049419D"/>
    <w:rsid w:val="0049527B"/>
    <w:rsid w:val="004A52B8"/>
    <w:rsid w:val="004B70A6"/>
    <w:rsid w:val="004D0077"/>
    <w:rsid w:val="004D106B"/>
    <w:rsid w:val="004E5BE2"/>
    <w:rsid w:val="004E68C1"/>
    <w:rsid w:val="005021B1"/>
    <w:rsid w:val="0050600A"/>
    <w:rsid w:val="00510223"/>
    <w:rsid w:val="00511530"/>
    <w:rsid w:val="00511756"/>
    <w:rsid w:val="00521189"/>
    <w:rsid w:val="00521B60"/>
    <w:rsid w:val="005244F1"/>
    <w:rsid w:val="005259FD"/>
    <w:rsid w:val="00526FC4"/>
    <w:rsid w:val="0053774E"/>
    <w:rsid w:val="0054167A"/>
    <w:rsid w:val="005465AB"/>
    <w:rsid w:val="0054786F"/>
    <w:rsid w:val="00555530"/>
    <w:rsid w:val="005617EC"/>
    <w:rsid w:val="005628F9"/>
    <w:rsid w:val="005643BB"/>
    <w:rsid w:val="00564FBC"/>
    <w:rsid w:val="00566183"/>
    <w:rsid w:val="00572A42"/>
    <w:rsid w:val="00572DA5"/>
    <w:rsid w:val="005745D1"/>
    <w:rsid w:val="00575907"/>
    <w:rsid w:val="005769CB"/>
    <w:rsid w:val="005825EF"/>
    <w:rsid w:val="005857DE"/>
    <w:rsid w:val="00590761"/>
    <w:rsid w:val="00591C2C"/>
    <w:rsid w:val="005A1D43"/>
    <w:rsid w:val="005A6591"/>
    <w:rsid w:val="005A72FC"/>
    <w:rsid w:val="005B211D"/>
    <w:rsid w:val="005B5159"/>
    <w:rsid w:val="005B554D"/>
    <w:rsid w:val="005C0FCA"/>
    <w:rsid w:val="005C334E"/>
    <w:rsid w:val="005C34A6"/>
    <w:rsid w:val="005C4042"/>
    <w:rsid w:val="005E3C41"/>
    <w:rsid w:val="005F1532"/>
    <w:rsid w:val="005F5BB3"/>
    <w:rsid w:val="006023C6"/>
    <w:rsid w:val="00611535"/>
    <w:rsid w:val="006135D3"/>
    <w:rsid w:val="00614763"/>
    <w:rsid w:val="00615997"/>
    <w:rsid w:val="006226FB"/>
    <w:rsid w:val="00625A90"/>
    <w:rsid w:val="00625B83"/>
    <w:rsid w:val="006350A0"/>
    <w:rsid w:val="00635F0B"/>
    <w:rsid w:val="00636589"/>
    <w:rsid w:val="00637850"/>
    <w:rsid w:val="00641277"/>
    <w:rsid w:val="00641878"/>
    <w:rsid w:val="006425DF"/>
    <w:rsid w:val="00643737"/>
    <w:rsid w:val="006517B6"/>
    <w:rsid w:val="00651FAC"/>
    <w:rsid w:val="006607E2"/>
    <w:rsid w:val="006609AB"/>
    <w:rsid w:val="0066211A"/>
    <w:rsid w:val="00664E22"/>
    <w:rsid w:val="006664C0"/>
    <w:rsid w:val="00667633"/>
    <w:rsid w:val="006717DB"/>
    <w:rsid w:val="00671C21"/>
    <w:rsid w:val="00675C9C"/>
    <w:rsid w:val="00676A24"/>
    <w:rsid w:val="00677445"/>
    <w:rsid w:val="006864AC"/>
    <w:rsid w:val="00690C2C"/>
    <w:rsid w:val="00693B59"/>
    <w:rsid w:val="006965DE"/>
    <w:rsid w:val="00696E7C"/>
    <w:rsid w:val="00697085"/>
    <w:rsid w:val="006A02BB"/>
    <w:rsid w:val="006A650C"/>
    <w:rsid w:val="006B0876"/>
    <w:rsid w:val="006B5930"/>
    <w:rsid w:val="006C34C5"/>
    <w:rsid w:val="006C3A5F"/>
    <w:rsid w:val="006D3F00"/>
    <w:rsid w:val="006D5CB9"/>
    <w:rsid w:val="006E24FB"/>
    <w:rsid w:val="006E519A"/>
    <w:rsid w:val="006F645C"/>
    <w:rsid w:val="00704BF7"/>
    <w:rsid w:val="00705E14"/>
    <w:rsid w:val="007133FA"/>
    <w:rsid w:val="00720C9E"/>
    <w:rsid w:val="00721162"/>
    <w:rsid w:val="0072466C"/>
    <w:rsid w:val="0073711B"/>
    <w:rsid w:val="00737420"/>
    <w:rsid w:val="007415F0"/>
    <w:rsid w:val="007461FA"/>
    <w:rsid w:val="0075326F"/>
    <w:rsid w:val="0075463A"/>
    <w:rsid w:val="00755673"/>
    <w:rsid w:val="00756C25"/>
    <w:rsid w:val="007621E7"/>
    <w:rsid w:val="00765DB9"/>
    <w:rsid w:val="0077374D"/>
    <w:rsid w:val="00775D4A"/>
    <w:rsid w:val="00781C2B"/>
    <w:rsid w:val="00782C31"/>
    <w:rsid w:val="00786D6B"/>
    <w:rsid w:val="0078739C"/>
    <w:rsid w:val="007923FB"/>
    <w:rsid w:val="00793793"/>
    <w:rsid w:val="00794546"/>
    <w:rsid w:val="00794A7A"/>
    <w:rsid w:val="007A2D11"/>
    <w:rsid w:val="007A3542"/>
    <w:rsid w:val="007A55C0"/>
    <w:rsid w:val="007B326F"/>
    <w:rsid w:val="007C7852"/>
    <w:rsid w:val="007D2F92"/>
    <w:rsid w:val="007D3D8F"/>
    <w:rsid w:val="007D3EA9"/>
    <w:rsid w:val="007E087F"/>
    <w:rsid w:val="007E2648"/>
    <w:rsid w:val="007E3615"/>
    <w:rsid w:val="007E4474"/>
    <w:rsid w:val="007E7F78"/>
    <w:rsid w:val="007F46F0"/>
    <w:rsid w:val="007F7150"/>
    <w:rsid w:val="00801AEB"/>
    <w:rsid w:val="0080411F"/>
    <w:rsid w:val="00805631"/>
    <w:rsid w:val="00805CE7"/>
    <w:rsid w:val="00807EA5"/>
    <w:rsid w:val="008128FB"/>
    <w:rsid w:val="0081555A"/>
    <w:rsid w:val="00816078"/>
    <w:rsid w:val="00816A20"/>
    <w:rsid w:val="0081758F"/>
    <w:rsid w:val="00817ED0"/>
    <w:rsid w:val="008350BF"/>
    <w:rsid w:val="00843C8E"/>
    <w:rsid w:val="008454FE"/>
    <w:rsid w:val="00845D37"/>
    <w:rsid w:val="0084758A"/>
    <w:rsid w:val="00861A65"/>
    <w:rsid w:val="00874212"/>
    <w:rsid w:val="00876374"/>
    <w:rsid w:val="00880054"/>
    <w:rsid w:val="0088257D"/>
    <w:rsid w:val="008870E9"/>
    <w:rsid w:val="008908A5"/>
    <w:rsid w:val="008A275C"/>
    <w:rsid w:val="008A3B41"/>
    <w:rsid w:val="008A6347"/>
    <w:rsid w:val="008B6A0A"/>
    <w:rsid w:val="008C216F"/>
    <w:rsid w:val="008C2286"/>
    <w:rsid w:val="008C283E"/>
    <w:rsid w:val="008C65EE"/>
    <w:rsid w:val="008D3FCA"/>
    <w:rsid w:val="008E2376"/>
    <w:rsid w:val="008E6ECD"/>
    <w:rsid w:val="008E737B"/>
    <w:rsid w:val="008F7E60"/>
    <w:rsid w:val="00901240"/>
    <w:rsid w:val="00911C50"/>
    <w:rsid w:val="009123C6"/>
    <w:rsid w:val="00914524"/>
    <w:rsid w:val="009175D0"/>
    <w:rsid w:val="00921D9E"/>
    <w:rsid w:val="0092353F"/>
    <w:rsid w:val="0092379A"/>
    <w:rsid w:val="0092485A"/>
    <w:rsid w:val="009248FD"/>
    <w:rsid w:val="00940FE0"/>
    <w:rsid w:val="009441D2"/>
    <w:rsid w:val="009502B9"/>
    <w:rsid w:val="00961009"/>
    <w:rsid w:val="009774E2"/>
    <w:rsid w:val="00980D2F"/>
    <w:rsid w:val="00981BB0"/>
    <w:rsid w:val="009831AA"/>
    <w:rsid w:val="00984F3D"/>
    <w:rsid w:val="00987D8E"/>
    <w:rsid w:val="009924D5"/>
    <w:rsid w:val="009A3869"/>
    <w:rsid w:val="009A5352"/>
    <w:rsid w:val="009A7345"/>
    <w:rsid w:val="009B1D97"/>
    <w:rsid w:val="009B4DBC"/>
    <w:rsid w:val="009B56D8"/>
    <w:rsid w:val="009B77F3"/>
    <w:rsid w:val="009C5CEA"/>
    <w:rsid w:val="009C6D9D"/>
    <w:rsid w:val="009D0673"/>
    <w:rsid w:val="009D16BD"/>
    <w:rsid w:val="009D5974"/>
    <w:rsid w:val="009E0ACB"/>
    <w:rsid w:val="009E3D50"/>
    <w:rsid w:val="009E497A"/>
    <w:rsid w:val="009F7B9A"/>
    <w:rsid w:val="00A01648"/>
    <w:rsid w:val="00A02250"/>
    <w:rsid w:val="00A12066"/>
    <w:rsid w:val="00A15382"/>
    <w:rsid w:val="00A15AFF"/>
    <w:rsid w:val="00A24203"/>
    <w:rsid w:val="00A24793"/>
    <w:rsid w:val="00A26945"/>
    <w:rsid w:val="00A3129F"/>
    <w:rsid w:val="00A31AE7"/>
    <w:rsid w:val="00A323C9"/>
    <w:rsid w:val="00A338EB"/>
    <w:rsid w:val="00A35EC1"/>
    <w:rsid w:val="00A35F91"/>
    <w:rsid w:val="00A36069"/>
    <w:rsid w:val="00A414A7"/>
    <w:rsid w:val="00A47C50"/>
    <w:rsid w:val="00A51797"/>
    <w:rsid w:val="00A52991"/>
    <w:rsid w:val="00A62F24"/>
    <w:rsid w:val="00A7179C"/>
    <w:rsid w:val="00A73FCE"/>
    <w:rsid w:val="00A84C17"/>
    <w:rsid w:val="00A85701"/>
    <w:rsid w:val="00A85773"/>
    <w:rsid w:val="00A94667"/>
    <w:rsid w:val="00A96449"/>
    <w:rsid w:val="00A974D4"/>
    <w:rsid w:val="00AA7999"/>
    <w:rsid w:val="00AA7D4D"/>
    <w:rsid w:val="00AB2461"/>
    <w:rsid w:val="00AB31EC"/>
    <w:rsid w:val="00AB701C"/>
    <w:rsid w:val="00AC2915"/>
    <w:rsid w:val="00AC3B98"/>
    <w:rsid w:val="00AC6E6A"/>
    <w:rsid w:val="00AC7C01"/>
    <w:rsid w:val="00AD4D29"/>
    <w:rsid w:val="00AD4F65"/>
    <w:rsid w:val="00AE2EE6"/>
    <w:rsid w:val="00AF2058"/>
    <w:rsid w:val="00AF2B92"/>
    <w:rsid w:val="00AF3B96"/>
    <w:rsid w:val="00AF4625"/>
    <w:rsid w:val="00AF65D7"/>
    <w:rsid w:val="00AF7908"/>
    <w:rsid w:val="00B013B0"/>
    <w:rsid w:val="00B017A1"/>
    <w:rsid w:val="00B02124"/>
    <w:rsid w:val="00B02C61"/>
    <w:rsid w:val="00B0577C"/>
    <w:rsid w:val="00B10C7E"/>
    <w:rsid w:val="00B22F76"/>
    <w:rsid w:val="00B27CF0"/>
    <w:rsid w:val="00B3133F"/>
    <w:rsid w:val="00B32CEF"/>
    <w:rsid w:val="00B351BD"/>
    <w:rsid w:val="00B353B5"/>
    <w:rsid w:val="00B4361F"/>
    <w:rsid w:val="00B46A36"/>
    <w:rsid w:val="00B5692E"/>
    <w:rsid w:val="00B62291"/>
    <w:rsid w:val="00B677DD"/>
    <w:rsid w:val="00B67870"/>
    <w:rsid w:val="00B72C5A"/>
    <w:rsid w:val="00B756BE"/>
    <w:rsid w:val="00B872BB"/>
    <w:rsid w:val="00BA00C8"/>
    <w:rsid w:val="00BA2605"/>
    <w:rsid w:val="00BA7A2F"/>
    <w:rsid w:val="00BB393D"/>
    <w:rsid w:val="00BB4F89"/>
    <w:rsid w:val="00BB58C9"/>
    <w:rsid w:val="00BB5CAE"/>
    <w:rsid w:val="00BC1147"/>
    <w:rsid w:val="00BC197C"/>
    <w:rsid w:val="00BD2BB7"/>
    <w:rsid w:val="00BE71AA"/>
    <w:rsid w:val="00BF3C97"/>
    <w:rsid w:val="00BF5182"/>
    <w:rsid w:val="00BF5E66"/>
    <w:rsid w:val="00BF758E"/>
    <w:rsid w:val="00C1407A"/>
    <w:rsid w:val="00C1575A"/>
    <w:rsid w:val="00C20F4E"/>
    <w:rsid w:val="00C22A24"/>
    <w:rsid w:val="00C2686F"/>
    <w:rsid w:val="00C26A4C"/>
    <w:rsid w:val="00C26A95"/>
    <w:rsid w:val="00C3081A"/>
    <w:rsid w:val="00C32562"/>
    <w:rsid w:val="00C371AD"/>
    <w:rsid w:val="00C43A4E"/>
    <w:rsid w:val="00C44CA3"/>
    <w:rsid w:val="00C54766"/>
    <w:rsid w:val="00C578A4"/>
    <w:rsid w:val="00C67470"/>
    <w:rsid w:val="00C712E7"/>
    <w:rsid w:val="00C75836"/>
    <w:rsid w:val="00C84A49"/>
    <w:rsid w:val="00C953C9"/>
    <w:rsid w:val="00C95D21"/>
    <w:rsid w:val="00CA208F"/>
    <w:rsid w:val="00CA50F4"/>
    <w:rsid w:val="00CA7AA9"/>
    <w:rsid w:val="00CB14FD"/>
    <w:rsid w:val="00CB50BE"/>
    <w:rsid w:val="00CB5D8E"/>
    <w:rsid w:val="00CC29C0"/>
    <w:rsid w:val="00CC3CAF"/>
    <w:rsid w:val="00CC3D3A"/>
    <w:rsid w:val="00CD1EFF"/>
    <w:rsid w:val="00CD657B"/>
    <w:rsid w:val="00CD7181"/>
    <w:rsid w:val="00CE53EB"/>
    <w:rsid w:val="00CE7653"/>
    <w:rsid w:val="00CF1724"/>
    <w:rsid w:val="00D034C2"/>
    <w:rsid w:val="00D04562"/>
    <w:rsid w:val="00D05F36"/>
    <w:rsid w:val="00D12168"/>
    <w:rsid w:val="00D137DA"/>
    <w:rsid w:val="00D14F02"/>
    <w:rsid w:val="00D272AB"/>
    <w:rsid w:val="00D306A8"/>
    <w:rsid w:val="00D3157F"/>
    <w:rsid w:val="00D3369F"/>
    <w:rsid w:val="00D3649E"/>
    <w:rsid w:val="00D3658A"/>
    <w:rsid w:val="00D44D8B"/>
    <w:rsid w:val="00D4503B"/>
    <w:rsid w:val="00D47135"/>
    <w:rsid w:val="00D50D90"/>
    <w:rsid w:val="00D5187F"/>
    <w:rsid w:val="00D52C2C"/>
    <w:rsid w:val="00D54E36"/>
    <w:rsid w:val="00D60D62"/>
    <w:rsid w:val="00D66B23"/>
    <w:rsid w:val="00D71077"/>
    <w:rsid w:val="00D746D9"/>
    <w:rsid w:val="00D77CF2"/>
    <w:rsid w:val="00D8113F"/>
    <w:rsid w:val="00D822EB"/>
    <w:rsid w:val="00D8534D"/>
    <w:rsid w:val="00D907E9"/>
    <w:rsid w:val="00D91A4D"/>
    <w:rsid w:val="00D95407"/>
    <w:rsid w:val="00D96783"/>
    <w:rsid w:val="00D96870"/>
    <w:rsid w:val="00DA23C0"/>
    <w:rsid w:val="00DA3CCB"/>
    <w:rsid w:val="00DA4FDC"/>
    <w:rsid w:val="00DA7D09"/>
    <w:rsid w:val="00DB1564"/>
    <w:rsid w:val="00DB17B0"/>
    <w:rsid w:val="00DB21F6"/>
    <w:rsid w:val="00DB2318"/>
    <w:rsid w:val="00DC5306"/>
    <w:rsid w:val="00DC56AB"/>
    <w:rsid w:val="00DD4D3C"/>
    <w:rsid w:val="00DD716E"/>
    <w:rsid w:val="00DF0B06"/>
    <w:rsid w:val="00DF1D48"/>
    <w:rsid w:val="00DF2AB5"/>
    <w:rsid w:val="00DF4E42"/>
    <w:rsid w:val="00DF5F3F"/>
    <w:rsid w:val="00DF6C3D"/>
    <w:rsid w:val="00E134CB"/>
    <w:rsid w:val="00E17B31"/>
    <w:rsid w:val="00E21894"/>
    <w:rsid w:val="00E24B4F"/>
    <w:rsid w:val="00E32E73"/>
    <w:rsid w:val="00E360DF"/>
    <w:rsid w:val="00E36EA5"/>
    <w:rsid w:val="00E37879"/>
    <w:rsid w:val="00E450AB"/>
    <w:rsid w:val="00E51269"/>
    <w:rsid w:val="00E54157"/>
    <w:rsid w:val="00E6262F"/>
    <w:rsid w:val="00E64EE0"/>
    <w:rsid w:val="00E6609C"/>
    <w:rsid w:val="00E73740"/>
    <w:rsid w:val="00E7746A"/>
    <w:rsid w:val="00E80CD3"/>
    <w:rsid w:val="00E856DD"/>
    <w:rsid w:val="00E85B28"/>
    <w:rsid w:val="00E8651A"/>
    <w:rsid w:val="00E87378"/>
    <w:rsid w:val="00E92921"/>
    <w:rsid w:val="00E95531"/>
    <w:rsid w:val="00E955A7"/>
    <w:rsid w:val="00EA02DF"/>
    <w:rsid w:val="00EA055D"/>
    <w:rsid w:val="00EA6A1E"/>
    <w:rsid w:val="00EB2119"/>
    <w:rsid w:val="00EB2164"/>
    <w:rsid w:val="00EB4D17"/>
    <w:rsid w:val="00EC2CB3"/>
    <w:rsid w:val="00EC3DBA"/>
    <w:rsid w:val="00ED227B"/>
    <w:rsid w:val="00ED65D2"/>
    <w:rsid w:val="00ED6701"/>
    <w:rsid w:val="00EE0AAB"/>
    <w:rsid w:val="00EF313D"/>
    <w:rsid w:val="00EF411F"/>
    <w:rsid w:val="00EF61E9"/>
    <w:rsid w:val="00EF7C50"/>
    <w:rsid w:val="00F00424"/>
    <w:rsid w:val="00F02178"/>
    <w:rsid w:val="00F0456D"/>
    <w:rsid w:val="00F04576"/>
    <w:rsid w:val="00F07F87"/>
    <w:rsid w:val="00F1000E"/>
    <w:rsid w:val="00F1098E"/>
    <w:rsid w:val="00F14E90"/>
    <w:rsid w:val="00F15C23"/>
    <w:rsid w:val="00F202AC"/>
    <w:rsid w:val="00F21E37"/>
    <w:rsid w:val="00F250FF"/>
    <w:rsid w:val="00F3406A"/>
    <w:rsid w:val="00F34A87"/>
    <w:rsid w:val="00F42D72"/>
    <w:rsid w:val="00F44C73"/>
    <w:rsid w:val="00F50173"/>
    <w:rsid w:val="00F536B1"/>
    <w:rsid w:val="00F53C44"/>
    <w:rsid w:val="00F54C31"/>
    <w:rsid w:val="00F665A4"/>
    <w:rsid w:val="00F80656"/>
    <w:rsid w:val="00F83607"/>
    <w:rsid w:val="00F86DF7"/>
    <w:rsid w:val="00F91C3F"/>
    <w:rsid w:val="00F931C5"/>
    <w:rsid w:val="00F95422"/>
    <w:rsid w:val="00F957F5"/>
    <w:rsid w:val="00FA246F"/>
    <w:rsid w:val="00FA2F4C"/>
    <w:rsid w:val="00FA7859"/>
    <w:rsid w:val="00FB11A3"/>
    <w:rsid w:val="00FB14C0"/>
    <w:rsid w:val="00FB5860"/>
    <w:rsid w:val="00FB5D0B"/>
    <w:rsid w:val="00FC72F1"/>
    <w:rsid w:val="00FD0086"/>
    <w:rsid w:val="00FD1547"/>
    <w:rsid w:val="00FD2F8D"/>
    <w:rsid w:val="00FE478C"/>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 w:type="character" w:customStyle="1" w:styleId="st">
    <w:name w:val="st"/>
    <w:basedOn w:val="DefaultParagraphFont"/>
    <w:rsid w:val="00675C9C"/>
  </w:style>
  <w:style w:type="paragraph" w:styleId="FootnoteText">
    <w:name w:val="footnote text"/>
    <w:basedOn w:val="Normal"/>
    <w:link w:val="FootnoteTextChar"/>
    <w:uiPriority w:val="99"/>
    <w:semiHidden/>
    <w:unhideWhenUsed/>
    <w:rsid w:val="005A7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2FC"/>
    <w:rPr>
      <w:sz w:val="20"/>
      <w:szCs w:val="20"/>
    </w:rPr>
  </w:style>
  <w:style w:type="character" w:styleId="FootnoteReference">
    <w:name w:val="footnote reference"/>
    <w:basedOn w:val="DefaultParagraphFont"/>
    <w:uiPriority w:val="99"/>
    <w:semiHidden/>
    <w:unhideWhenUsed/>
    <w:rsid w:val="005A72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1776">
      <w:bodyDiv w:val="1"/>
      <w:marLeft w:val="0"/>
      <w:marRight w:val="0"/>
      <w:marTop w:val="0"/>
      <w:marBottom w:val="0"/>
      <w:divBdr>
        <w:top w:val="none" w:sz="0" w:space="0" w:color="auto"/>
        <w:left w:val="none" w:sz="0" w:space="0" w:color="auto"/>
        <w:bottom w:val="none" w:sz="0" w:space="0" w:color="auto"/>
        <w:right w:val="none" w:sz="0" w:space="0" w:color="auto"/>
      </w:divBdr>
      <w:divsChild>
        <w:div w:id="855507384">
          <w:marLeft w:val="734"/>
          <w:marRight w:val="0"/>
          <w:marTop w:val="100"/>
          <w:marBottom w:val="0"/>
          <w:divBdr>
            <w:top w:val="none" w:sz="0" w:space="0" w:color="auto"/>
            <w:left w:val="none" w:sz="0" w:space="0" w:color="auto"/>
            <w:bottom w:val="none" w:sz="0" w:space="0" w:color="auto"/>
            <w:right w:val="none" w:sz="0" w:space="0" w:color="auto"/>
          </w:divBdr>
        </w:div>
      </w:divsChild>
    </w:div>
    <w:div w:id="112674634">
      <w:bodyDiv w:val="1"/>
      <w:marLeft w:val="0"/>
      <w:marRight w:val="0"/>
      <w:marTop w:val="0"/>
      <w:marBottom w:val="0"/>
      <w:divBdr>
        <w:top w:val="none" w:sz="0" w:space="0" w:color="auto"/>
        <w:left w:val="none" w:sz="0" w:space="0" w:color="auto"/>
        <w:bottom w:val="none" w:sz="0" w:space="0" w:color="auto"/>
        <w:right w:val="none" w:sz="0" w:space="0" w:color="auto"/>
      </w:divBdr>
    </w:div>
    <w:div w:id="149638917">
      <w:bodyDiv w:val="1"/>
      <w:marLeft w:val="0"/>
      <w:marRight w:val="0"/>
      <w:marTop w:val="0"/>
      <w:marBottom w:val="0"/>
      <w:divBdr>
        <w:top w:val="none" w:sz="0" w:space="0" w:color="auto"/>
        <w:left w:val="none" w:sz="0" w:space="0" w:color="auto"/>
        <w:bottom w:val="none" w:sz="0" w:space="0" w:color="auto"/>
        <w:right w:val="none" w:sz="0" w:space="0" w:color="auto"/>
      </w:divBdr>
      <w:divsChild>
        <w:div w:id="1204513266">
          <w:marLeft w:val="734"/>
          <w:marRight w:val="0"/>
          <w:marTop w:val="100"/>
          <w:marBottom w:val="0"/>
          <w:divBdr>
            <w:top w:val="none" w:sz="0" w:space="0" w:color="auto"/>
            <w:left w:val="none" w:sz="0" w:space="0" w:color="auto"/>
            <w:bottom w:val="none" w:sz="0" w:space="0" w:color="auto"/>
            <w:right w:val="none" w:sz="0" w:space="0" w:color="auto"/>
          </w:divBdr>
        </w:div>
      </w:divsChild>
    </w:div>
    <w:div w:id="178087685">
      <w:bodyDiv w:val="1"/>
      <w:marLeft w:val="0"/>
      <w:marRight w:val="0"/>
      <w:marTop w:val="0"/>
      <w:marBottom w:val="0"/>
      <w:divBdr>
        <w:top w:val="none" w:sz="0" w:space="0" w:color="auto"/>
        <w:left w:val="none" w:sz="0" w:space="0" w:color="auto"/>
        <w:bottom w:val="none" w:sz="0" w:space="0" w:color="auto"/>
        <w:right w:val="none" w:sz="0" w:space="0" w:color="auto"/>
      </w:divBdr>
    </w:div>
    <w:div w:id="452406578">
      <w:bodyDiv w:val="1"/>
      <w:marLeft w:val="0"/>
      <w:marRight w:val="0"/>
      <w:marTop w:val="0"/>
      <w:marBottom w:val="0"/>
      <w:divBdr>
        <w:top w:val="none" w:sz="0" w:space="0" w:color="auto"/>
        <w:left w:val="none" w:sz="0" w:space="0" w:color="auto"/>
        <w:bottom w:val="none" w:sz="0" w:space="0" w:color="auto"/>
        <w:right w:val="none" w:sz="0" w:space="0" w:color="auto"/>
      </w:divBdr>
      <w:divsChild>
        <w:div w:id="1780640797">
          <w:marLeft w:val="360"/>
          <w:marRight w:val="0"/>
          <w:marTop w:val="200"/>
          <w:marBottom w:val="0"/>
          <w:divBdr>
            <w:top w:val="none" w:sz="0" w:space="0" w:color="auto"/>
            <w:left w:val="none" w:sz="0" w:space="0" w:color="auto"/>
            <w:bottom w:val="none" w:sz="0" w:space="0" w:color="auto"/>
            <w:right w:val="none" w:sz="0" w:space="0" w:color="auto"/>
          </w:divBdr>
        </w:div>
        <w:div w:id="1765959786">
          <w:marLeft w:val="360"/>
          <w:marRight w:val="0"/>
          <w:marTop w:val="200"/>
          <w:marBottom w:val="0"/>
          <w:divBdr>
            <w:top w:val="none" w:sz="0" w:space="0" w:color="auto"/>
            <w:left w:val="none" w:sz="0" w:space="0" w:color="auto"/>
            <w:bottom w:val="none" w:sz="0" w:space="0" w:color="auto"/>
            <w:right w:val="none" w:sz="0" w:space="0" w:color="auto"/>
          </w:divBdr>
        </w:div>
        <w:div w:id="420565876">
          <w:marLeft w:val="1094"/>
          <w:marRight w:val="0"/>
          <w:marTop w:val="100"/>
          <w:marBottom w:val="0"/>
          <w:divBdr>
            <w:top w:val="none" w:sz="0" w:space="0" w:color="auto"/>
            <w:left w:val="none" w:sz="0" w:space="0" w:color="auto"/>
            <w:bottom w:val="none" w:sz="0" w:space="0" w:color="auto"/>
            <w:right w:val="none" w:sz="0" w:space="0" w:color="auto"/>
          </w:divBdr>
        </w:div>
        <w:div w:id="527331163">
          <w:marLeft w:val="1094"/>
          <w:marRight w:val="0"/>
          <w:marTop w:val="100"/>
          <w:marBottom w:val="0"/>
          <w:divBdr>
            <w:top w:val="none" w:sz="0" w:space="0" w:color="auto"/>
            <w:left w:val="none" w:sz="0" w:space="0" w:color="auto"/>
            <w:bottom w:val="none" w:sz="0" w:space="0" w:color="auto"/>
            <w:right w:val="none" w:sz="0" w:space="0" w:color="auto"/>
          </w:divBdr>
        </w:div>
        <w:div w:id="845949272">
          <w:marLeft w:val="1094"/>
          <w:marRight w:val="0"/>
          <w:marTop w:val="100"/>
          <w:marBottom w:val="0"/>
          <w:divBdr>
            <w:top w:val="none" w:sz="0" w:space="0" w:color="auto"/>
            <w:left w:val="none" w:sz="0" w:space="0" w:color="auto"/>
            <w:bottom w:val="none" w:sz="0" w:space="0" w:color="auto"/>
            <w:right w:val="none" w:sz="0" w:space="0" w:color="auto"/>
          </w:divBdr>
        </w:div>
      </w:divsChild>
    </w:div>
    <w:div w:id="1033001934">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332945550">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469393592">
      <w:bodyDiv w:val="1"/>
      <w:marLeft w:val="0"/>
      <w:marRight w:val="0"/>
      <w:marTop w:val="0"/>
      <w:marBottom w:val="0"/>
      <w:divBdr>
        <w:top w:val="none" w:sz="0" w:space="0" w:color="auto"/>
        <w:left w:val="none" w:sz="0" w:space="0" w:color="auto"/>
        <w:bottom w:val="none" w:sz="0" w:space="0" w:color="auto"/>
        <w:right w:val="none" w:sz="0" w:space="0" w:color="auto"/>
      </w:divBdr>
      <w:divsChild>
        <w:div w:id="2096054001">
          <w:marLeft w:val="360"/>
          <w:marRight w:val="0"/>
          <w:marTop w:val="200"/>
          <w:marBottom w:val="0"/>
          <w:divBdr>
            <w:top w:val="none" w:sz="0" w:space="0" w:color="auto"/>
            <w:left w:val="none" w:sz="0" w:space="0" w:color="auto"/>
            <w:bottom w:val="none" w:sz="0" w:space="0" w:color="auto"/>
            <w:right w:val="none" w:sz="0" w:space="0" w:color="auto"/>
          </w:divBdr>
        </w:div>
        <w:div w:id="1929381163">
          <w:marLeft w:val="734"/>
          <w:marRight w:val="0"/>
          <w:marTop w:val="100"/>
          <w:marBottom w:val="0"/>
          <w:divBdr>
            <w:top w:val="none" w:sz="0" w:space="0" w:color="auto"/>
            <w:left w:val="none" w:sz="0" w:space="0" w:color="auto"/>
            <w:bottom w:val="none" w:sz="0" w:space="0" w:color="auto"/>
            <w:right w:val="none" w:sz="0" w:space="0" w:color="auto"/>
          </w:divBdr>
        </w:div>
        <w:div w:id="1949703407">
          <w:marLeft w:val="734"/>
          <w:marRight w:val="0"/>
          <w:marTop w:val="100"/>
          <w:marBottom w:val="0"/>
          <w:divBdr>
            <w:top w:val="none" w:sz="0" w:space="0" w:color="auto"/>
            <w:left w:val="none" w:sz="0" w:space="0" w:color="auto"/>
            <w:bottom w:val="none" w:sz="0" w:space="0" w:color="auto"/>
            <w:right w:val="none" w:sz="0" w:space="0" w:color="auto"/>
          </w:divBdr>
        </w:div>
        <w:div w:id="1972396530">
          <w:marLeft w:val="734"/>
          <w:marRight w:val="0"/>
          <w:marTop w:val="100"/>
          <w:marBottom w:val="0"/>
          <w:divBdr>
            <w:top w:val="none" w:sz="0" w:space="0" w:color="auto"/>
            <w:left w:val="none" w:sz="0" w:space="0" w:color="auto"/>
            <w:bottom w:val="none" w:sz="0" w:space="0" w:color="auto"/>
            <w:right w:val="none" w:sz="0" w:space="0" w:color="auto"/>
          </w:divBdr>
        </w:div>
        <w:div w:id="1327629839">
          <w:marLeft w:val="734"/>
          <w:marRight w:val="0"/>
          <w:marTop w:val="100"/>
          <w:marBottom w:val="0"/>
          <w:divBdr>
            <w:top w:val="none" w:sz="0" w:space="0" w:color="auto"/>
            <w:left w:val="none" w:sz="0" w:space="0" w:color="auto"/>
            <w:bottom w:val="none" w:sz="0" w:space="0" w:color="auto"/>
            <w:right w:val="none" w:sz="0" w:space="0" w:color="auto"/>
          </w:divBdr>
        </w:div>
        <w:div w:id="1658460701">
          <w:marLeft w:val="734"/>
          <w:marRight w:val="0"/>
          <w:marTop w:val="100"/>
          <w:marBottom w:val="0"/>
          <w:divBdr>
            <w:top w:val="none" w:sz="0" w:space="0" w:color="auto"/>
            <w:left w:val="none" w:sz="0" w:space="0" w:color="auto"/>
            <w:bottom w:val="none" w:sz="0" w:space="0" w:color="auto"/>
            <w:right w:val="none" w:sz="0" w:space="0" w:color="auto"/>
          </w:divBdr>
        </w:div>
      </w:divsChild>
    </w:div>
    <w:div w:id="1526215793">
      <w:bodyDiv w:val="1"/>
      <w:marLeft w:val="0"/>
      <w:marRight w:val="0"/>
      <w:marTop w:val="0"/>
      <w:marBottom w:val="0"/>
      <w:divBdr>
        <w:top w:val="none" w:sz="0" w:space="0" w:color="auto"/>
        <w:left w:val="none" w:sz="0" w:space="0" w:color="auto"/>
        <w:bottom w:val="none" w:sz="0" w:space="0" w:color="auto"/>
        <w:right w:val="none" w:sz="0" w:space="0" w:color="auto"/>
      </w:divBdr>
    </w:div>
    <w:div w:id="1623883071">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9B8C-EEEF-4480-99F7-EA2A598C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4177</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4</cp:revision>
  <dcterms:created xsi:type="dcterms:W3CDTF">2018-03-02T22:17:00Z</dcterms:created>
  <dcterms:modified xsi:type="dcterms:W3CDTF">2018-03-02T22:36:00Z</dcterms:modified>
</cp:coreProperties>
</file>