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91" w:rsidRPr="00641E91" w:rsidRDefault="00696B47" w:rsidP="00641E91">
      <w:pPr>
        <w:jc w:val="center"/>
        <w:rPr>
          <w:b/>
          <w:sz w:val="28"/>
          <w:szCs w:val="28"/>
        </w:rPr>
      </w:pPr>
      <w:r w:rsidRPr="00641E91">
        <w:rPr>
          <w:b/>
          <w:sz w:val="28"/>
          <w:szCs w:val="28"/>
        </w:rPr>
        <w:t>MINUTES OF MALARIA DASH BOARDS REVIEW MEETING</w:t>
      </w:r>
    </w:p>
    <w:p w:rsidR="00105A2F" w:rsidRPr="00641E91" w:rsidRDefault="000828A4" w:rsidP="00641E91">
      <w:pPr>
        <w:jc w:val="center"/>
        <w:rPr>
          <w:b/>
        </w:rPr>
      </w:pPr>
      <w:r>
        <w:rPr>
          <w:b/>
        </w:rPr>
        <w:t>August 26th</w:t>
      </w:r>
      <w:r w:rsidR="00696B47" w:rsidRPr="00641E91">
        <w:rPr>
          <w:b/>
        </w:rPr>
        <w:t xml:space="preserve">, 2015 </w:t>
      </w:r>
      <w:r w:rsidR="00641E91">
        <w:rPr>
          <w:b/>
        </w:rPr>
        <w:t xml:space="preserve">at the </w:t>
      </w:r>
      <w:r w:rsidR="00696B47" w:rsidRPr="00641E91">
        <w:rPr>
          <w:b/>
        </w:rPr>
        <w:t>CCM S</w:t>
      </w:r>
      <w:r w:rsidR="00641E91">
        <w:rPr>
          <w:b/>
        </w:rPr>
        <w:t>ecretariat</w:t>
      </w:r>
    </w:p>
    <w:p w:rsidR="00641E91" w:rsidRDefault="00641E91" w:rsidP="007D6E1C">
      <w:pPr>
        <w:jc w:val="both"/>
        <w:rPr>
          <w:b/>
        </w:rPr>
      </w:pPr>
    </w:p>
    <w:p w:rsidR="00696B47" w:rsidRPr="007D6E1C" w:rsidRDefault="00696B47" w:rsidP="007D6E1C">
      <w:pPr>
        <w:jc w:val="both"/>
        <w:rPr>
          <w:b/>
        </w:rPr>
      </w:pPr>
      <w:r w:rsidRPr="007D6E1C">
        <w:rPr>
          <w:b/>
        </w:rPr>
        <w:t>A</w:t>
      </w:r>
      <w:r w:rsidR="00962157">
        <w:rPr>
          <w:b/>
        </w:rPr>
        <w:t>ttendance</w:t>
      </w:r>
      <w:r w:rsidRPr="007D6E1C">
        <w:rPr>
          <w:b/>
        </w:rPr>
        <w:t>:</w:t>
      </w:r>
    </w:p>
    <w:tbl>
      <w:tblPr>
        <w:tblStyle w:val="TableGrid"/>
        <w:tblW w:w="0" w:type="auto"/>
        <w:tblLook w:val="04A0" w:firstRow="1" w:lastRow="0" w:firstColumn="1" w:lastColumn="0" w:noHBand="0" w:noVBand="1"/>
      </w:tblPr>
      <w:tblGrid>
        <w:gridCol w:w="828"/>
        <w:gridCol w:w="3960"/>
        <w:gridCol w:w="2394"/>
        <w:gridCol w:w="2394"/>
      </w:tblGrid>
      <w:tr w:rsidR="00696B47" w:rsidTr="00696B47">
        <w:tc>
          <w:tcPr>
            <w:tcW w:w="828" w:type="dxa"/>
          </w:tcPr>
          <w:p w:rsidR="00696B47" w:rsidRPr="007D6E1C" w:rsidRDefault="00696B47" w:rsidP="007D6E1C">
            <w:pPr>
              <w:jc w:val="both"/>
              <w:rPr>
                <w:b/>
              </w:rPr>
            </w:pPr>
            <w:r w:rsidRPr="007D6E1C">
              <w:rPr>
                <w:b/>
              </w:rPr>
              <w:t xml:space="preserve">No. </w:t>
            </w:r>
          </w:p>
        </w:tc>
        <w:tc>
          <w:tcPr>
            <w:tcW w:w="3960" w:type="dxa"/>
          </w:tcPr>
          <w:p w:rsidR="00696B47" w:rsidRPr="007D6E1C" w:rsidRDefault="00696B47" w:rsidP="007D6E1C">
            <w:pPr>
              <w:jc w:val="both"/>
              <w:rPr>
                <w:b/>
              </w:rPr>
            </w:pPr>
            <w:r w:rsidRPr="007D6E1C">
              <w:rPr>
                <w:b/>
              </w:rPr>
              <w:t>Name</w:t>
            </w:r>
          </w:p>
        </w:tc>
        <w:tc>
          <w:tcPr>
            <w:tcW w:w="2394" w:type="dxa"/>
          </w:tcPr>
          <w:p w:rsidR="00696B47" w:rsidRPr="007D6E1C" w:rsidRDefault="00696B47" w:rsidP="007D6E1C">
            <w:pPr>
              <w:jc w:val="both"/>
              <w:rPr>
                <w:b/>
              </w:rPr>
            </w:pPr>
            <w:r w:rsidRPr="007D6E1C">
              <w:rPr>
                <w:b/>
              </w:rPr>
              <w:t>Organization</w:t>
            </w:r>
          </w:p>
        </w:tc>
        <w:tc>
          <w:tcPr>
            <w:tcW w:w="2394" w:type="dxa"/>
          </w:tcPr>
          <w:p w:rsidR="00696B47" w:rsidRPr="007D6E1C" w:rsidRDefault="00696B47" w:rsidP="007D6E1C">
            <w:pPr>
              <w:jc w:val="both"/>
              <w:rPr>
                <w:b/>
              </w:rPr>
            </w:pPr>
            <w:r w:rsidRPr="007D6E1C">
              <w:rPr>
                <w:b/>
              </w:rPr>
              <w:t>Sector</w:t>
            </w:r>
          </w:p>
        </w:tc>
      </w:tr>
      <w:tr w:rsidR="00641E91" w:rsidTr="00696B47">
        <w:tc>
          <w:tcPr>
            <w:tcW w:w="828" w:type="dxa"/>
          </w:tcPr>
          <w:p w:rsidR="00641E91" w:rsidRDefault="00C553C2" w:rsidP="00641E91">
            <w:pPr>
              <w:jc w:val="both"/>
            </w:pPr>
            <w:r>
              <w:t>1</w:t>
            </w:r>
          </w:p>
        </w:tc>
        <w:tc>
          <w:tcPr>
            <w:tcW w:w="3960" w:type="dxa"/>
          </w:tcPr>
          <w:p w:rsidR="00641E91" w:rsidRPr="00C553C2" w:rsidRDefault="00641E91" w:rsidP="00641E91">
            <w:pPr>
              <w:jc w:val="both"/>
            </w:pPr>
            <w:r w:rsidRPr="00C553C2">
              <w:t>Annekatrin El Oumrany</w:t>
            </w:r>
          </w:p>
        </w:tc>
        <w:tc>
          <w:tcPr>
            <w:tcW w:w="2394" w:type="dxa"/>
          </w:tcPr>
          <w:p w:rsidR="00641E91" w:rsidRDefault="00641E91" w:rsidP="00641E91">
            <w:pPr>
              <w:jc w:val="both"/>
            </w:pPr>
            <w:r>
              <w:t>CCM Secretariat</w:t>
            </w:r>
          </w:p>
        </w:tc>
        <w:tc>
          <w:tcPr>
            <w:tcW w:w="2394" w:type="dxa"/>
          </w:tcPr>
          <w:p w:rsidR="00641E91" w:rsidRDefault="00641E91" w:rsidP="00641E91">
            <w:pPr>
              <w:jc w:val="both"/>
            </w:pPr>
            <w:r>
              <w:t>CCM</w:t>
            </w:r>
          </w:p>
        </w:tc>
      </w:tr>
      <w:tr w:rsidR="00641E91" w:rsidTr="00696B47">
        <w:tc>
          <w:tcPr>
            <w:tcW w:w="828" w:type="dxa"/>
          </w:tcPr>
          <w:p w:rsidR="00641E91" w:rsidRDefault="00C553C2" w:rsidP="00641E91">
            <w:pPr>
              <w:jc w:val="both"/>
            </w:pPr>
            <w:r>
              <w:t>2</w:t>
            </w:r>
          </w:p>
        </w:tc>
        <w:tc>
          <w:tcPr>
            <w:tcW w:w="3960" w:type="dxa"/>
          </w:tcPr>
          <w:p w:rsidR="00641E91" w:rsidRPr="00C553C2" w:rsidRDefault="00641E91" w:rsidP="00641E91">
            <w:pPr>
              <w:jc w:val="both"/>
            </w:pPr>
            <w:r w:rsidRPr="00C553C2">
              <w:t>Ignatuis Williams</w:t>
            </w:r>
          </w:p>
        </w:tc>
        <w:tc>
          <w:tcPr>
            <w:tcW w:w="2394" w:type="dxa"/>
          </w:tcPr>
          <w:p w:rsidR="00641E91" w:rsidRDefault="00641E91" w:rsidP="00641E91">
            <w:pPr>
              <w:jc w:val="both"/>
            </w:pPr>
            <w:r>
              <w:t>Anglogold Malaria Ltd</w:t>
            </w:r>
          </w:p>
        </w:tc>
        <w:tc>
          <w:tcPr>
            <w:tcW w:w="2394" w:type="dxa"/>
          </w:tcPr>
          <w:p w:rsidR="00641E91" w:rsidRDefault="003617E6" w:rsidP="00641E91">
            <w:pPr>
              <w:jc w:val="both"/>
            </w:pPr>
            <w:r>
              <w:t xml:space="preserve">PR / </w:t>
            </w:r>
            <w:r w:rsidR="00641E91">
              <w:t>Private Sector</w:t>
            </w:r>
          </w:p>
        </w:tc>
      </w:tr>
      <w:tr w:rsidR="00641E91" w:rsidTr="00696B47">
        <w:tc>
          <w:tcPr>
            <w:tcW w:w="828" w:type="dxa"/>
          </w:tcPr>
          <w:p w:rsidR="00641E91" w:rsidRDefault="00C553C2" w:rsidP="00641E91">
            <w:pPr>
              <w:jc w:val="both"/>
            </w:pPr>
            <w:r>
              <w:t>3</w:t>
            </w:r>
          </w:p>
        </w:tc>
        <w:tc>
          <w:tcPr>
            <w:tcW w:w="3960" w:type="dxa"/>
          </w:tcPr>
          <w:p w:rsidR="00641E91" w:rsidRPr="00C553C2" w:rsidRDefault="00641E91" w:rsidP="00641E91">
            <w:pPr>
              <w:jc w:val="both"/>
            </w:pPr>
            <w:r w:rsidRPr="00C553C2">
              <w:t>Jonas Raphael Manu</w:t>
            </w:r>
          </w:p>
        </w:tc>
        <w:tc>
          <w:tcPr>
            <w:tcW w:w="2394" w:type="dxa"/>
          </w:tcPr>
          <w:p w:rsidR="00641E91" w:rsidRDefault="00641E91" w:rsidP="00641E91">
            <w:pPr>
              <w:jc w:val="both"/>
            </w:pPr>
            <w:proofErr w:type="spellStart"/>
            <w:r>
              <w:t>Anglogold</w:t>
            </w:r>
            <w:proofErr w:type="spellEnd"/>
            <w:r>
              <w:t xml:space="preserve"> Malaria Ltd</w:t>
            </w:r>
          </w:p>
        </w:tc>
        <w:tc>
          <w:tcPr>
            <w:tcW w:w="2394" w:type="dxa"/>
          </w:tcPr>
          <w:p w:rsidR="00641E91" w:rsidRDefault="003617E6" w:rsidP="00641E91">
            <w:pPr>
              <w:jc w:val="both"/>
            </w:pPr>
            <w:r>
              <w:t xml:space="preserve">PR / </w:t>
            </w:r>
            <w:r w:rsidR="00641E91">
              <w:t>Private Sector</w:t>
            </w:r>
          </w:p>
        </w:tc>
      </w:tr>
      <w:tr w:rsidR="003617E6" w:rsidTr="00641E91">
        <w:tc>
          <w:tcPr>
            <w:tcW w:w="828" w:type="dxa"/>
            <w:tcBorders>
              <w:left w:val="single" w:sz="4" w:space="0" w:color="000000" w:themeColor="text1"/>
              <w:bottom w:val="single" w:sz="4" w:space="0" w:color="000000" w:themeColor="text1"/>
              <w:right w:val="single" w:sz="4" w:space="0" w:color="000000" w:themeColor="text1"/>
            </w:tcBorders>
          </w:tcPr>
          <w:p w:rsidR="003617E6" w:rsidRDefault="00C553C2" w:rsidP="003617E6">
            <w:pPr>
              <w:jc w:val="both"/>
            </w:pPr>
            <w:r>
              <w:t>4</w:t>
            </w:r>
          </w:p>
        </w:tc>
        <w:tc>
          <w:tcPr>
            <w:tcW w:w="39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C553C2" w:rsidRDefault="003617E6" w:rsidP="003617E6">
            <w:pPr>
              <w:jc w:val="both"/>
            </w:pPr>
            <w:r w:rsidRPr="00C553C2">
              <w:t>Wahjib Mohamed</w:t>
            </w:r>
          </w:p>
        </w:tc>
        <w:tc>
          <w:tcPr>
            <w:tcW w:w="23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2E4934" w:rsidRDefault="003617E6" w:rsidP="003617E6">
            <w:pPr>
              <w:jc w:val="both"/>
            </w:pPr>
            <w:r w:rsidRPr="002E4934">
              <w:t>NMCP</w:t>
            </w:r>
          </w:p>
        </w:tc>
        <w:tc>
          <w:tcPr>
            <w:tcW w:w="2394" w:type="dxa"/>
            <w:tcBorders>
              <w:left w:val="single" w:sz="4" w:space="0" w:color="000000" w:themeColor="text1"/>
              <w:bottom w:val="single" w:sz="4" w:space="0" w:color="000000" w:themeColor="text1"/>
            </w:tcBorders>
          </w:tcPr>
          <w:p w:rsidR="003617E6" w:rsidRPr="002E4934" w:rsidRDefault="003617E6" w:rsidP="003617E6">
            <w:r w:rsidRPr="002E4934">
              <w:t>PR / Government</w:t>
            </w:r>
          </w:p>
        </w:tc>
      </w:tr>
      <w:tr w:rsidR="003617E6" w:rsidTr="00641E9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Default="00C553C2" w:rsidP="003617E6">
            <w:pPr>
              <w:jc w:val="both"/>
            </w:pPr>
            <w:r>
              <w:t>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C553C2" w:rsidRDefault="003617E6" w:rsidP="003617E6">
            <w:pPr>
              <w:jc w:val="both"/>
            </w:pPr>
            <w:r w:rsidRPr="00C553C2">
              <w:t xml:space="preserve">Samuel </w:t>
            </w:r>
            <w:proofErr w:type="spellStart"/>
            <w:r w:rsidRPr="00C553C2">
              <w:t>Dodoo</w:t>
            </w:r>
            <w:proofErr w:type="spell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Media Response – Stop TB</w:t>
            </w:r>
          </w:p>
        </w:tc>
        <w:tc>
          <w:tcPr>
            <w:tcW w:w="2394" w:type="dxa"/>
            <w:tcBorders>
              <w:top w:val="single" w:sz="4" w:space="0" w:color="000000" w:themeColor="text1"/>
              <w:left w:val="single" w:sz="4" w:space="0" w:color="000000" w:themeColor="text1"/>
              <w:bottom w:val="single" w:sz="4" w:space="0" w:color="000000" w:themeColor="text1"/>
            </w:tcBorders>
          </w:tcPr>
          <w:p w:rsidR="003617E6" w:rsidRDefault="003617E6" w:rsidP="003617E6">
            <w:pPr>
              <w:jc w:val="both"/>
            </w:pPr>
            <w:r>
              <w:t>OC / NGO</w:t>
            </w:r>
          </w:p>
        </w:tc>
      </w:tr>
      <w:tr w:rsidR="003617E6" w:rsidTr="00641E9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Default="00C553C2" w:rsidP="003617E6">
            <w:pPr>
              <w:jc w:val="both"/>
            </w:pPr>
            <w:r>
              <w:t>6</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C553C2" w:rsidRDefault="003617E6" w:rsidP="003617E6">
            <w:pPr>
              <w:jc w:val="both"/>
            </w:pPr>
            <w:r w:rsidRPr="00C553C2">
              <w:t>Laud Baddoo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JSI Deliver</w:t>
            </w:r>
          </w:p>
        </w:tc>
        <w:tc>
          <w:tcPr>
            <w:tcW w:w="2394" w:type="dxa"/>
            <w:tcBorders>
              <w:top w:val="single" w:sz="4" w:space="0" w:color="000000" w:themeColor="text1"/>
              <w:left w:val="single" w:sz="4" w:space="0" w:color="000000" w:themeColor="text1"/>
              <w:bottom w:val="single" w:sz="4" w:space="0" w:color="000000" w:themeColor="text1"/>
            </w:tcBorders>
          </w:tcPr>
          <w:p w:rsidR="003617E6" w:rsidRDefault="003617E6" w:rsidP="003617E6">
            <w:pPr>
              <w:jc w:val="both"/>
            </w:pPr>
            <w:r>
              <w:t>OC / Co-opted member</w:t>
            </w:r>
          </w:p>
        </w:tc>
      </w:tr>
      <w:tr w:rsidR="003617E6" w:rsidTr="00641E9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Default="00C553C2" w:rsidP="003617E6">
            <w:pPr>
              <w:jc w:val="both"/>
            </w:pPr>
            <w:r>
              <w:t>7</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C553C2" w:rsidRDefault="003617E6" w:rsidP="003617E6">
            <w:pPr>
              <w:jc w:val="both"/>
            </w:pPr>
            <w:r w:rsidRPr="00C553C2">
              <w:t xml:space="preserve">Jonathan </w:t>
            </w:r>
            <w:proofErr w:type="spellStart"/>
            <w:r w:rsidRPr="00C553C2">
              <w:t>Tetteh-Kwao</w:t>
            </w:r>
            <w:proofErr w:type="spell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NAP+</w:t>
            </w:r>
          </w:p>
        </w:tc>
        <w:tc>
          <w:tcPr>
            <w:tcW w:w="2394" w:type="dxa"/>
            <w:tcBorders>
              <w:top w:val="single" w:sz="4" w:space="0" w:color="000000" w:themeColor="text1"/>
              <w:left w:val="single" w:sz="4" w:space="0" w:color="000000" w:themeColor="text1"/>
              <w:bottom w:val="single" w:sz="4" w:space="0" w:color="000000" w:themeColor="text1"/>
            </w:tcBorders>
          </w:tcPr>
          <w:p w:rsidR="003617E6" w:rsidRDefault="003617E6" w:rsidP="003617E6">
            <w:pPr>
              <w:jc w:val="both"/>
            </w:pPr>
            <w:r>
              <w:t>OC / PLWD</w:t>
            </w:r>
          </w:p>
        </w:tc>
      </w:tr>
      <w:tr w:rsidR="003617E6" w:rsidTr="0008010A">
        <w:tc>
          <w:tcPr>
            <w:tcW w:w="828" w:type="dxa"/>
          </w:tcPr>
          <w:p w:rsidR="003617E6" w:rsidRDefault="00C553C2" w:rsidP="003617E6">
            <w:pPr>
              <w:jc w:val="both"/>
            </w:pPr>
            <w:r>
              <w:t>8</w:t>
            </w:r>
          </w:p>
        </w:tc>
        <w:tc>
          <w:tcPr>
            <w:tcW w:w="3960" w:type="dxa"/>
          </w:tcPr>
          <w:p w:rsidR="003617E6" w:rsidRPr="00C553C2" w:rsidRDefault="003617E6" w:rsidP="003617E6">
            <w:pPr>
              <w:jc w:val="both"/>
            </w:pPr>
            <w:r w:rsidRPr="00C553C2">
              <w:t>Dr. Philip Ricks</w:t>
            </w:r>
          </w:p>
        </w:tc>
        <w:tc>
          <w:tcPr>
            <w:tcW w:w="2394" w:type="dxa"/>
          </w:tcPr>
          <w:p w:rsidR="003617E6" w:rsidRDefault="003617E6" w:rsidP="003617E6">
            <w:pPr>
              <w:jc w:val="both"/>
            </w:pPr>
            <w:r>
              <w:t>USAID/CDC</w:t>
            </w:r>
          </w:p>
        </w:tc>
        <w:tc>
          <w:tcPr>
            <w:tcW w:w="2394" w:type="dxa"/>
          </w:tcPr>
          <w:p w:rsidR="003617E6" w:rsidRDefault="003617E6" w:rsidP="003617E6">
            <w:pPr>
              <w:jc w:val="both"/>
            </w:pPr>
            <w:r>
              <w:t>OC / Bilateral</w:t>
            </w:r>
          </w:p>
        </w:tc>
      </w:tr>
    </w:tbl>
    <w:p w:rsidR="00696B47" w:rsidRDefault="00696B47" w:rsidP="007D6E1C">
      <w:pPr>
        <w:jc w:val="both"/>
      </w:pPr>
    </w:p>
    <w:p w:rsidR="00641E91" w:rsidRPr="00641E91" w:rsidRDefault="00641E91" w:rsidP="007D6E1C">
      <w:pPr>
        <w:jc w:val="both"/>
        <w:rPr>
          <w:b/>
        </w:rPr>
      </w:pPr>
      <w:r w:rsidRPr="00641E91">
        <w:rPr>
          <w:b/>
        </w:rPr>
        <w:t>A</w:t>
      </w:r>
      <w:r w:rsidR="00962157">
        <w:rPr>
          <w:b/>
        </w:rPr>
        <w:t>bsence</w:t>
      </w:r>
      <w:r w:rsidRPr="00641E91">
        <w:rPr>
          <w:b/>
        </w:rPr>
        <w:t>:</w:t>
      </w:r>
    </w:p>
    <w:tbl>
      <w:tblPr>
        <w:tblStyle w:val="TableGrid"/>
        <w:tblW w:w="0" w:type="auto"/>
        <w:tblLook w:val="04A0" w:firstRow="1" w:lastRow="0" w:firstColumn="1" w:lastColumn="0" w:noHBand="0" w:noVBand="1"/>
      </w:tblPr>
      <w:tblGrid>
        <w:gridCol w:w="562"/>
        <w:gridCol w:w="2410"/>
        <w:gridCol w:w="2693"/>
        <w:gridCol w:w="1985"/>
        <w:gridCol w:w="1985"/>
      </w:tblGrid>
      <w:tr w:rsidR="00641E91" w:rsidTr="009C6EC9">
        <w:tc>
          <w:tcPr>
            <w:tcW w:w="562" w:type="dxa"/>
          </w:tcPr>
          <w:p w:rsidR="00641E91" w:rsidRPr="007D6E1C" w:rsidRDefault="00641E91" w:rsidP="0008010A">
            <w:pPr>
              <w:jc w:val="both"/>
              <w:rPr>
                <w:b/>
              </w:rPr>
            </w:pPr>
            <w:r w:rsidRPr="007D6E1C">
              <w:rPr>
                <w:b/>
              </w:rPr>
              <w:t xml:space="preserve">No. </w:t>
            </w:r>
          </w:p>
        </w:tc>
        <w:tc>
          <w:tcPr>
            <w:tcW w:w="2410" w:type="dxa"/>
          </w:tcPr>
          <w:p w:rsidR="00641E91" w:rsidRPr="007D6E1C" w:rsidRDefault="00641E91" w:rsidP="00641E91">
            <w:pPr>
              <w:rPr>
                <w:b/>
              </w:rPr>
            </w:pPr>
            <w:r w:rsidRPr="007D6E1C">
              <w:rPr>
                <w:b/>
              </w:rPr>
              <w:t>Name</w:t>
            </w:r>
          </w:p>
        </w:tc>
        <w:tc>
          <w:tcPr>
            <w:tcW w:w="2693" w:type="dxa"/>
          </w:tcPr>
          <w:p w:rsidR="00641E91" w:rsidRPr="007D6E1C" w:rsidRDefault="00641E91" w:rsidP="0008010A">
            <w:pPr>
              <w:jc w:val="both"/>
              <w:rPr>
                <w:b/>
              </w:rPr>
            </w:pPr>
            <w:r w:rsidRPr="007D6E1C">
              <w:rPr>
                <w:b/>
              </w:rPr>
              <w:t>Organization</w:t>
            </w:r>
          </w:p>
        </w:tc>
        <w:tc>
          <w:tcPr>
            <w:tcW w:w="1985" w:type="dxa"/>
          </w:tcPr>
          <w:p w:rsidR="00641E91" w:rsidRPr="007D6E1C" w:rsidRDefault="00641E91" w:rsidP="0008010A">
            <w:pPr>
              <w:jc w:val="both"/>
              <w:rPr>
                <w:b/>
              </w:rPr>
            </w:pPr>
            <w:r w:rsidRPr="007D6E1C">
              <w:rPr>
                <w:b/>
              </w:rPr>
              <w:t>Sector</w:t>
            </w:r>
          </w:p>
        </w:tc>
        <w:tc>
          <w:tcPr>
            <w:tcW w:w="1985" w:type="dxa"/>
          </w:tcPr>
          <w:p w:rsidR="00641E91" w:rsidRPr="007D6E1C" w:rsidRDefault="00641E91" w:rsidP="0008010A">
            <w:pPr>
              <w:jc w:val="both"/>
              <w:rPr>
                <w:b/>
              </w:rPr>
            </w:pPr>
            <w:r>
              <w:rPr>
                <w:b/>
              </w:rPr>
              <w:t>Reason</w:t>
            </w:r>
          </w:p>
        </w:tc>
      </w:tr>
      <w:tr w:rsidR="00641E91" w:rsidRPr="006F2E0A" w:rsidTr="009C6EC9">
        <w:tc>
          <w:tcPr>
            <w:tcW w:w="562" w:type="dxa"/>
            <w:tcBorders>
              <w:left w:val="single" w:sz="4" w:space="0" w:color="000000" w:themeColor="text1"/>
              <w:bottom w:val="single" w:sz="4" w:space="0" w:color="000000" w:themeColor="text1"/>
              <w:right w:val="single" w:sz="4" w:space="0" w:color="000000" w:themeColor="text1"/>
            </w:tcBorders>
          </w:tcPr>
          <w:p w:rsidR="00641E91" w:rsidRPr="006F2E0A" w:rsidRDefault="00641E91" w:rsidP="0008010A">
            <w:pPr>
              <w:jc w:val="both"/>
              <w:rPr>
                <w:b/>
              </w:rPr>
            </w:pP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641E91">
            <w:r w:rsidRPr="00C553C2">
              <w:t xml:space="preserve">Daniel </w:t>
            </w:r>
            <w:proofErr w:type="spellStart"/>
            <w:r w:rsidRPr="00C553C2">
              <w:t>Osei</w:t>
            </w:r>
            <w:proofErr w:type="spellEnd"/>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08010A">
            <w:pPr>
              <w:jc w:val="both"/>
            </w:pPr>
            <w:r w:rsidRPr="00C553C2">
              <w:t>Ghana Health Services</w:t>
            </w:r>
          </w:p>
        </w:tc>
        <w:tc>
          <w:tcPr>
            <w:tcW w:w="1985" w:type="dxa"/>
            <w:tcBorders>
              <w:left w:val="single" w:sz="4" w:space="0" w:color="000000" w:themeColor="text1"/>
              <w:bottom w:val="single" w:sz="4" w:space="0" w:color="000000" w:themeColor="text1"/>
            </w:tcBorders>
          </w:tcPr>
          <w:p w:rsidR="00641E91" w:rsidRPr="00C553C2" w:rsidRDefault="00641E91" w:rsidP="0008010A">
            <w:pPr>
              <w:jc w:val="both"/>
            </w:pPr>
            <w:r w:rsidRPr="00C553C2">
              <w:t>Government</w:t>
            </w:r>
          </w:p>
        </w:tc>
        <w:tc>
          <w:tcPr>
            <w:tcW w:w="1985" w:type="dxa"/>
            <w:tcBorders>
              <w:left w:val="single" w:sz="4" w:space="0" w:color="000000" w:themeColor="text1"/>
              <w:bottom w:val="single" w:sz="4" w:space="0" w:color="000000" w:themeColor="text1"/>
            </w:tcBorders>
          </w:tcPr>
          <w:p w:rsidR="00641E91" w:rsidRPr="00C553C2" w:rsidRDefault="006F2E0A" w:rsidP="0008010A">
            <w:pPr>
              <w:jc w:val="both"/>
            </w:pPr>
            <w:proofErr w:type="spellStart"/>
            <w:r w:rsidRPr="00C553C2">
              <w:t>MoH</w:t>
            </w:r>
            <w:proofErr w:type="spellEnd"/>
            <w:r w:rsidRPr="00C553C2">
              <w:t xml:space="preserve"> meeting</w:t>
            </w: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641E91">
            <w:proofErr w:type="spellStart"/>
            <w:r w:rsidRPr="00C553C2">
              <w:t>Osei</w:t>
            </w:r>
            <w:proofErr w:type="spellEnd"/>
            <w:r w:rsidRPr="00C553C2">
              <w:t xml:space="preserve"> </w:t>
            </w:r>
            <w:proofErr w:type="spellStart"/>
            <w:r w:rsidRPr="00C553C2">
              <w:t>Oteng</w:t>
            </w:r>
            <w:proofErr w:type="spellEnd"/>
            <w:r w:rsidRPr="00C553C2">
              <w:t>-Asante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08010A">
            <w:pPr>
              <w:jc w:val="both"/>
            </w:pPr>
            <w:r w:rsidRPr="00C553C2">
              <w:t>MOFEP</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641E91" w:rsidP="0008010A">
            <w:pPr>
              <w:jc w:val="both"/>
            </w:pPr>
            <w:r w:rsidRPr="00C553C2">
              <w:t>Government</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641E91" w:rsidP="0008010A">
            <w:pPr>
              <w:jc w:val="both"/>
            </w:pPr>
          </w:p>
        </w:tc>
      </w:tr>
      <w:tr w:rsidR="00641E91" w:rsidRPr="006F2E0A"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Pr="006F2E0A" w:rsidRDefault="00641E91" w:rsidP="0008010A">
            <w:pPr>
              <w:jc w:val="both"/>
              <w:rPr>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641E91">
            <w:r w:rsidRPr="00C553C2">
              <w:t xml:space="preserve">Dr. Sebastian </w:t>
            </w:r>
            <w:proofErr w:type="spellStart"/>
            <w:r w:rsidRPr="00C553C2">
              <w:t>Ngmenenso</w:t>
            </w:r>
            <w:proofErr w:type="spellEnd"/>
            <w:r w:rsidRPr="00C553C2">
              <w:t xml:space="preserve"> </w:t>
            </w:r>
            <w:proofErr w:type="spellStart"/>
            <w:r w:rsidRPr="00C553C2">
              <w:t>Sandaare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08010A">
            <w:pPr>
              <w:jc w:val="both"/>
            </w:pPr>
            <w:r w:rsidRPr="00C553C2">
              <w:t>District Health Director</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641E91" w:rsidP="0008010A">
            <w:pPr>
              <w:jc w:val="both"/>
            </w:pPr>
            <w:r w:rsidRPr="00C553C2">
              <w:t>PLWD</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6F2E0A" w:rsidP="0008010A">
            <w:pPr>
              <w:jc w:val="both"/>
            </w:pPr>
            <w:r w:rsidRPr="00C553C2">
              <w:t>Conflicting professional requirements</w:t>
            </w:r>
          </w:p>
        </w:tc>
      </w:tr>
      <w:tr w:rsidR="00641E91" w:rsidRPr="001260C7"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Pr="001260C7" w:rsidRDefault="00641E91" w:rsidP="0008010A">
            <w:pPr>
              <w:jc w:val="both"/>
              <w:rPr>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641E91">
            <w:r w:rsidRPr="00C553C2">
              <w:t xml:space="preserve">Maurice </w:t>
            </w:r>
            <w:proofErr w:type="spellStart"/>
            <w:r w:rsidRPr="00C553C2">
              <w:t>Ocquaye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3617E6" w:rsidP="0008010A">
            <w:pPr>
              <w:jc w:val="both"/>
            </w:pPr>
            <w:r w:rsidRPr="00C553C2">
              <w:t>Consultant</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641E91" w:rsidP="0008010A">
            <w:pPr>
              <w:jc w:val="both"/>
            </w:pPr>
            <w:r w:rsidRPr="00C553C2">
              <w:t>Co-opted member</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1260C7" w:rsidP="0008010A">
            <w:pPr>
              <w:jc w:val="both"/>
            </w:pPr>
            <w:r w:rsidRPr="00C553C2">
              <w:t>Leave</w:t>
            </w: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641E91">
            <w:r w:rsidRPr="00C553C2">
              <w:t>Dr</w:t>
            </w:r>
            <w:r w:rsidR="00C34463" w:rsidRPr="00C553C2">
              <w:t>.</w:t>
            </w:r>
            <w:r w:rsidRPr="00C553C2">
              <w:t xml:space="preserve"> Felicia </w:t>
            </w:r>
            <w:proofErr w:type="spellStart"/>
            <w:r w:rsidRPr="00C553C2">
              <w:t>Owusu-Antwi</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553C2" w:rsidRDefault="00641E91" w:rsidP="0008010A">
            <w:pPr>
              <w:jc w:val="both"/>
            </w:pPr>
            <w:r w:rsidRPr="00C553C2">
              <w:t>WHO</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641E91" w:rsidP="0008010A">
            <w:pPr>
              <w:jc w:val="both"/>
            </w:pPr>
            <w:r w:rsidRPr="00C553C2">
              <w:t xml:space="preserve">Multilateral </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553C2" w:rsidRDefault="00C553C2" w:rsidP="0008010A">
            <w:pPr>
              <w:jc w:val="both"/>
            </w:pPr>
            <w:r w:rsidRPr="00C553C2">
              <w:t>Personal emergency</w:t>
            </w:r>
          </w:p>
        </w:tc>
      </w:tr>
    </w:tbl>
    <w:p w:rsidR="00641E91" w:rsidRDefault="00641E91" w:rsidP="007D6E1C">
      <w:pPr>
        <w:jc w:val="both"/>
        <w:rPr>
          <w:b/>
        </w:rPr>
      </w:pPr>
    </w:p>
    <w:p w:rsidR="006F3793" w:rsidRPr="00962157" w:rsidRDefault="006F3793" w:rsidP="00962157">
      <w:pPr>
        <w:pStyle w:val="ListParagraph"/>
        <w:numPr>
          <w:ilvl w:val="0"/>
          <w:numId w:val="1"/>
        </w:numPr>
        <w:jc w:val="both"/>
        <w:rPr>
          <w:b/>
          <w:sz w:val="24"/>
          <w:szCs w:val="24"/>
        </w:rPr>
      </w:pPr>
      <w:r w:rsidRPr="00962157">
        <w:rPr>
          <w:b/>
          <w:sz w:val="24"/>
          <w:szCs w:val="24"/>
        </w:rPr>
        <w:t>Opening:</w:t>
      </w:r>
    </w:p>
    <w:p w:rsidR="006F3793" w:rsidRDefault="006F3793" w:rsidP="007D6E1C">
      <w:pPr>
        <w:jc w:val="both"/>
      </w:pPr>
      <w:r>
        <w:t xml:space="preserve">The meeting started at about </w:t>
      </w:r>
      <w:r w:rsidR="002128A3">
        <w:t>9:50</w:t>
      </w:r>
      <w:r w:rsidR="000565BC">
        <w:t>am</w:t>
      </w:r>
      <w:r w:rsidR="00962157">
        <w:t xml:space="preserve"> </w:t>
      </w:r>
      <w:r w:rsidR="00C553C2">
        <w:t>and was not chaired by anyone</w:t>
      </w:r>
      <w:r>
        <w:t>.</w:t>
      </w:r>
      <w:r w:rsidR="000828A4">
        <w:t xml:space="preserve"> The first half hour was reserved for internal discussions among the members of the oversight committee. The topics included:</w:t>
      </w:r>
    </w:p>
    <w:p w:rsidR="00C553C2" w:rsidRDefault="00C553C2" w:rsidP="00C553C2">
      <w:pPr>
        <w:pStyle w:val="ListParagraph"/>
        <w:numPr>
          <w:ilvl w:val="0"/>
          <w:numId w:val="10"/>
        </w:numPr>
        <w:spacing w:after="0" w:line="240" w:lineRule="auto"/>
        <w:contextualSpacing w:val="0"/>
        <w:rPr>
          <w:b/>
          <w:color w:val="000000" w:themeColor="text1"/>
        </w:rPr>
      </w:pPr>
      <w:r>
        <w:rPr>
          <w:b/>
          <w:color w:val="000000" w:themeColor="text1"/>
        </w:rPr>
        <w:t>Election of the Malaria Oversight Committee’s Chairperson</w:t>
      </w:r>
    </w:p>
    <w:p w:rsidR="00C553C2" w:rsidRPr="00C553C2" w:rsidRDefault="00C553C2" w:rsidP="00C553C2">
      <w:pPr>
        <w:pStyle w:val="ListParagraph"/>
        <w:spacing w:after="0" w:line="240" w:lineRule="auto"/>
        <w:ind w:left="360"/>
        <w:contextualSpacing w:val="0"/>
        <w:rPr>
          <w:color w:val="000000" w:themeColor="text1"/>
        </w:rPr>
      </w:pPr>
      <w:r w:rsidRPr="00C553C2">
        <w:rPr>
          <w:color w:val="000000" w:themeColor="text1"/>
        </w:rPr>
        <w:t xml:space="preserve">According to the CCM Constitution, a quorum of 50% needs to be ensured. Considering that only four members of the oversight committee were present, the quorum could not be achieved and the Malaria Oversight Committee’s Chairperson could again not be elected.  </w:t>
      </w:r>
    </w:p>
    <w:p w:rsidR="00C553C2" w:rsidRPr="00C553C2" w:rsidRDefault="00C553C2" w:rsidP="00C553C2">
      <w:pPr>
        <w:pStyle w:val="ListParagraph"/>
        <w:spacing w:after="0" w:line="240" w:lineRule="auto"/>
        <w:ind w:left="360"/>
        <w:contextualSpacing w:val="0"/>
        <w:rPr>
          <w:b/>
          <w:color w:val="000000" w:themeColor="text1"/>
        </w:rPr>
      </w:pPr>
    </w:p>
    <w:p w:rsidR="007475C0" w:rsidRDefault="007475C0" w:rsidP="00C553C2">
      <w:pPr>
        <w:pStyle w:val="ListParagraph"/>
        <w:numPr>
          <w:ilvl w:val="0"/>
          <w:numId w:val="10"/>
        </w:numPr>
        <w:spacing w:after="0" w:line="240" w:lineRule="auto"/>
        <w:contextualSpacing w:val="0"/>
        <w:rPr>
          <w:b/>
          <w:color w:val="000000" w:themeColor="text1"/>
        </w:rPr>
      </w:pPr>
      <w:r>
        <w:rPr>
          <w:b/>
          <w:color w:val="000000" w:themeColor="text1"/>
        </w:rPr>
        <w:t xml:space="preserve">Conflict of interest declaration </w:t>
      </w:r>
    </w:p>
    <w:p w:rsidR="007475C0" w:rsidRDefault="007475C0" w:rsidP="007475C0">
      <w:pPr>
        <w:pStyle w:val="ListParagraph"/>
        <w:spacing w:after="0" w:line="240" w:lineRule="auto"/>
        <w:ind w:left="360"/>
        <w:contextualSpacing w:val="0"/>
        <w:rPr>
          <w:color w:val="000000" w:themeColor="text1"/>
        </w:rPr>
      </w:pPr>
      <w:r w:rsidRPr="007475C0">
        <w:rPr>
          <w:color w:val="000000" w:themeColor="text1"/>
        </w:rPr>
        <w:t xml:space="preserve">All present OC members handed in their signed declaration of conflict of interest. </w:t>
      </w:r>
      <w:r>
        <w:rPr>
          <w:color w:val="000000" w:themeColor="text1"/>
        </w:rPr>
        <w:t xml:space="preserve">Philip Ricks pointed out additionally that he recently participated in a </w:t>
      </w:r>
      <w:r w:rsidR="00522414" w:rsidRPr="00522414">
        <w:rPr>
          <w:color w:val="000000" w:themeColor="text1"/>
        </w:rPr>
        <w:t>lunch for the Gates Foundation that was</w:t>
      </w:r>
      <w:r w:rsidR="00522414">
        <w:rPr>
          <w:color w:val="000000" w:themeColor="text1"/>
        </w:rPr>
        <w:t xml:space="preserve"> organized and financed by AGA Mal</w:t>
      </w:r>
      <w:r>
        <w:rPr>
          <w:color w:val="000000" w:themeColor="text1"/>
        </w:rPr>
        <w:t xml:space="preserve">. </w:t>
      </w:r>
      <w:r w:rsidR="00522414" w:rsidRPr="00522414">
        <w:rPr>
          <w:color w:val="000000" w:themeColor="text1"/>
        </w:rPr>
        <w:t>Dr. Ricks share of</w:t>
      </w:r>
      <w:r w:rsidR="00522414">
        <w:rPr>
          <w:color w:val="000000" w:themeColor="text1"/>
        </w:rPr>
        <w:t xml:space="preserve"> the</w:t>
      </w:r>
      <w:r w:rsidR="00522414" w:rsidRPr="00522414">
        <w:rPr>
          <w:color w:val="000000" w:themeColor="text1"/>
        </w:rPr>
        <w:t xml:space="preserve"> bill was approximately 130 </w:t>
      </w:r>
      <w:proofErr w:type="spellStart"/>
      <w:r w:rsidR="00522414" w:rsidRPr="00522414">
        <w:rPr>
          <w:color w:val="000000" w:themeColor="text1"/>
        </w:rPr>
        <w:t>Ghc</w:t>
      </w:r>
      <w:proofErr w:type="spellEnd"/>
      <w:r w:rsidR="00522414">
        <w:rPr>
          <w:color w:val="000000" w:themeColor="text1"/>
        </w:rPr>
        <w:t xml:space="preserve">. </w:t>
      </w:r>
      <w:r>
        <w:rPr>
          <w:color w:val="000000" w:themeColor="text1"/>
        </w:rPr>
        <w:t xml:space="preserve">The other OC members could not recognize an immediate conflict of interest but decided to note this announcement in the minutes and to manage any potential conflict of interest once it arises. </w:t>
      </w:r>
    </w:p>
    <w:p w:rsidR="007475C0" w:rsidRPr="007475C0" w:rsidRDefault="007475C0" w:rsidP="007475C0">
      <w:pPr>
        <w:pStyle w:val="ListParagraph"/>
        <w:spacing w:after="0" w:line="240" w:lineRule="auto"/>
        <w:ind w:left="360"/>
        <w:contextualSpacing w:val="0"/>
        <w:rPr>
          <w:color w:val="000000" w:themeColor="text1"/>
        </w:rPr>
      </w:pPr>
    </w:p>
    <w:p w:rsidR="00C553C2" w:rsidRPr="000828A4" w:rsidRDefault="00C553C2" w:rsidP="00C553C2">
      <w:pPr>
        <w:pStyle w:val="ListParagraph"/>
        <w:numPr>
          <w:ilvl w:val="0"/>
          <w:numId w:val="10"/>
        </w:numPr>
        <w:spacing w:after="0" w:line="240" w:lineRule="auto"/>
        <w:contextualSpacing w:val="0"/>
        <w:rPr>
          <w:b/>
          <w:color w:val="000000" w:themeColor="text1"/>
        </w:rPr>
      </w:pPr>
      <w:r w:rsidRPr="000828A4">
        <w:rPr>
          <w:b/>
          <w:color w:val="000000" w:themeColor="text1"/>
        </w:rPr>
        <w:t>Info</w:t>
      </w:r>
      <w:r w:rsidR="002128A3">
        <w:rPr>
          <w:b/>
          <w:color w:val="000000" w:themeColor="text1"/>
        </w:rPr>
        <w:t>rmation</w:t>
      </w:r>
      <w:r w:rsidRPr="000828A4">
        <w:rPr>
          <w:b/>
          <w:color w:val="000000" w:themeColor="text1"/>
        </w:rPr>
        <w:t xml:space="preserve"> on the functioning of VPP/PPM, the Global Fund procurement mechanism</w:t>
      </w:r>
    </w:p>
    <w:p w:rsidR="00C553C2" w:rsidRDefault="00C553C2" w:rsidP="00C553C2">
      <w:pPr>
        <w:pStyle w:val="ListParagraph"/>
        <w:spacing w:after="0" w:line="240" w:lineRule="auto"/>
        <w:ind w:left="360"/>
        <w:contextualSpacing w:val="0"/>
        <w:rPr>
          <w:color w:val="000000" w:themeColor="text1"/>
        </w:rPr>
      </w:pPr>
      <w:proofErr w:type="spellStart"/>
      <w:r>
        <w:rPr>
          <w:color w:val="000000" w:themeColor="text1"/>
        </w:rPr>
        <w:t>Annekatrin</w:t>
      </w:r>
      <w:proofErr w:type="spellEnd"/>
      <w:r>
        <w:rPr>
          <w:color w:val="000000" w:themeColor="text1"/>
        </w:rPr>
        <w:t xml:space="preserve"> El </w:t>
      </w:r>
      <w:proofErr w:type="spellStart"/>
      <w:r>
        <w:rPr>
          <w:color w:val="000000" w:themeColor="text1"/>
        </w:rPr>
        <w:t>Oumrany</w:t>
      </w:r>
      <w:proofErr w:type="spellEnd"/>
      <w:r>
        <w:rPr>
          <w:color w:val="000000" w:themeColor="text1"/>
        </w:rPr>
        <w:t xml:space="preserve"> informed the OC members about the functioning of PPM, the Global Fund Procurement Mechanism. Laud </w:t>
      </w:r>
      <w:proofErr w:type="spellStart"/>
      <w:r>
        <w:rPr>
          <w:color w:val="000000" w:themeColor="text1"/>
        </w:rPr>
        <w:t>Baddoo</w:t>
      </w:r>
      <w:proofErr w:type="spellEnd"/>
      <w:r>
        <w:rPr>
          <w:color w:val="000000" w:themeColor="text1"/>
        </w:rPr>
        <w:t xml:space="preserve"> added more detailed explanations whenever required. </w:t>
      </w:r>
      <w:r w:rsidRPr="00490E76">
        <w:rPr>
          <w:i/>
          <w:color w:val="000000" w:themeColor="text1"/>
        </w:rPr>
        <w:t xml:space="preserve">See the annex </w:t>
      </w:r>
      <w:r>
        <w:rPr>
          <w:i/>
          <w:color w:val="000000" w:themeColor="text1"/>
        </w:rPr>
        <w:t>with the detailed explanations about</w:t>
      </w:r>
      <w:r w:rsidRPr="00490E76">
        <w:rPr>
          <w:i/>
          <w:color w:val="000000" w:themeColor="text1"/>
        </w:rPr>
        <w:t xml:space="preserve"> the functioning of VPP/PPM</w:t>
      </w:r>
      <w:r>
        <w:rPr>
          <w:i/>
          <w:color w:val="000000" w:themeColor="text1"/>
        </w:rPr>
        <w:t xml:space="preserve"> or the PPT presentation for a summary</w:t>
      </w:r>
      <w:r w:rsidRPr="00490E76">
        <w:rPr>
          <w:i/>
          <w:color w:val="000000" w:themeColor="text1"/>
        </w:rPr>
        <w:t>.</w:t>
      </w:r>
      <w:r>
        <w:rPr>
          <w:color w:val="000000" w:themeColor="text1"/>
        </w:rPr>
        <w:t xml:space="preserve"> </w:t>
      </w:r>
    </w:p>
    <w:p w:rsidR="00C553C2" w:rsidRPr="000828A4" w:rsidRDefault="00C553C2" w:rsidP="00C553C2">
      <w:pPr>
        <w:pStyle w:val="ListParagraph"/>
        <w:spacing w:after="0" w:line="240" w:lineRule="auto"/>
        <w:ind w:left="360"/>
        <w:contextualSpacing w:val="0"/>
        <w:rPr>
          <w:color w:val="000000" w:themeColor="text1"/>
        </w:rPr>
      </w:pPr>
    </w:p>
    <w:p w:rsidR="00C553C2" w:rsidRPr="000828A4" w:rsidRDefault="00C553C2" w:rsidP="00C553C2">
      <w:pPr>
        <w:pStyle w:val="ListParagraph"/>
        <w:numPr>
          <w:ilvl w:val="0"/>
          <w:numId w:val="10"/>
        </w:numPr>
        <w:spacing w:after="0" w:line="240" w:lineRule="auto"/>
        <w:contextualSpacing w:val="0"/>
        <w:rPr>
          <w:b/>
          <w:color w:val="000000" w:themeColor="text1"/>
        </w:rPr>
      </w:pPr>
      <w:r w:rsidRPr="000828A4">
        <w:rPr>
          <w:b/>
          <w:color w:val="000000" w:themeColor="text1"/>
        </w:rPr>
        <w:t>Info</w:t>
      </w:r>
      <w:r w:rsidR="002128A3">
        <w:rPr>
          <w:b/>
          <w:color w:val="000000" w:themeColor="text1"/>
        </w:rPr>
        <w:t>rmation</w:t>
      </w:r>
      <w:r w:rsidRPr="000828A4">
        <w:rPr>
          <w:b/>
          <w:color w:val="000000" w:themeColor="text1"/>
        </w:rPr>
        <w:t xml:space="preserve"> on the first site visit </w:t>
      </w:r>
      <w:r>
        <w:rPr>
          <w:b/>
          <w:color w:val="000000" w:themeColor="text1"/>
        </w:rPr>
        <w:t xml:space="preserve">to </w:t>
      </w:r>
      <w:proofErr w:type="spellStart"/>
      <w:r>
        <w:rPr>
          <w:b/>
          <w:color w:val="000000" w:themeColor="text1"/>
        </w:rPr>
        <w:t>Wa</w:t>
      </w:r>
      <w:proofErr w:type="spellEnd"/>
      <w:r>
        <w:rPr>
          <w:b/>
          <w:color w:val="000000" w:themeColor="text1"/>
        </w:rPr>
        <w:t xml:space="preserve"> / Upper West region </w:t>
      </w:r>
    </w:p>
    <w:p w:rsidR="00C553C2" w:rsidRDefault="00C553C2" w:rsidP="007475C0">
      <w:pPr>
        <w:pStyle w:val="ListParagraph"/>
        <w:ind w:left="360"/>
        <w:rPr>
          <w:i/>
          <w:color w:val="000000" w:themeColor="text1"/>
        </w:rPr>
      </w:pPr>
      <w:proofErr w:type="spellStart"/>
      <w:r>
        <w:rPr>
          <w:color w:val="000000" w:themeColor="text1"/>
        </w:rPr>
        <w:t>Annekatrin</w:t>
      </w:r>
      <w:proofErr w:type="spellEnd"/>
      <w:r>
        <w:rPr>
          <w:color w:val="000000" w:themeColor="text1"/>
        </w:rPr>
        <w:t xml:space="preserve"> El </w:t>
      </w:r>
      <w:proofErr w:type="spellStart"/>
      <w:r>
        <w:rPr>
          <w:color w:val="000000" w:themeColor="text1"/>
        </w:rPr>
        <w:t>Oumrany</w:t>
      </w:r>
      <w:proofErr w:type="spellEnd"/>
      <w:r>
        <w:rPr>
          <w:color w:val="000000" w:themeColor="text1"/>
        </w:rPr>
        <w:t xml:space="preserve">, Laud </w:t>
      </w:r>
      <w:proofErr w:type="spellStart"/>
      <w:r>
        <w:rPr>
          <w:color w:val="000000" w:themeColor="text1"/>
        </w:rPr>
        <w:t>Baddoo</w:t>
      </w:r>
      <w:proofErr w:type="spellEnd"/>
      <w:r>
        <w:rPr>
          <w:color w:val="000000" w:themeColor="text1"/>
        </w:rPr>
        <w:t xml:space="preserve">, Dr. Felicia </w:t>
      </w:r>
      <w:proofErr w:type="spellStart"/>
      <w:r>
        <w:rPr>
          <w:color w:val="000000" w:themeColor="text1"/>
        </w:rPr>
        <w:t>Owusu</w:t>
      </w:r>
      <w:proofErr w:type="spellEnd"/>
      <w:r>
        <w:rPr>
          <w:color w:val="000000" w:themeColor="text1"/>
        </w:rPr>
        <w:t xml:space="preserve"> </w:t>
      </w:r>
      <w:proofErr w:type="spellStart"/>
      <w:r>
        <w:rPr>
          <w:color w:val="000000" w:themeColor="text1"/>
        </w:rPr>
        <w:t>Antwi</w:t>
      </w:r>
      <w:proofErr w:type="spellEnd"/>
      <w:r>
        <w:rPr>
          <w:color w:val="000000" w:themeColor="text1"/>
        </w:rPr>
        <w:t xml:space="preserve"> and Dr. Sebastian </w:t>
      </w:r>
      <w:proofErr w:type="spellStart"/>
      <w:r>
        <w:rPr>
          <w:color w:val="000000" w:themeColor="text1"/>
        </w:rPr>
        <w:t>Sandaare</w:t>
      </w:r>
      <w:proofErr w:type="spellEnd"/>
      <w:r>
        <w:rPr>
          <w:color w:val="000000" w:themeColor="text1"/>
        </w:rPr>
        <w:t xml:space="preserve"> went on a first site visit to the Upper West region from 22-25 July 2015. This site visit was initiated by the invitation of NMCP to participate in the first round of seasonal malaria chemoprophylaxis, however, the team took advantage of the opportunity to visit AGA Mal and the regional medical store as well. </w:t>
      </w:r>
      <w:proofErr w:type="spellStart"/>
      <w:r>
        <w:rPr>
          <w:color w:val="000000" w:themeColor="text1"/>
        </w:rPr>
        <w:t>Annekatrin</w:t>
      </w:r>
      <w:proofErr w:type="spellEnd"/>
      <w:r>
        <w:rPr>
          <w:color w:val="000000" w:themeColor="text1"/>
        </w:rPr>
        <w:t xml:space="preserve"> El </w:t>
      </w:r>
      <w:proofErr w:type="spellStart"/>
      <w:r>
        <w:rPr>
          <w:color w:val="000000" w:themeColor="text1"/>
        </w:rPr>
        <w:t>Oumrany</w:t>
      </w:r>
      <w:proofErr w:type="spellEnd"/>
      <w:r>
        <w:rPr>
          <w:color w:val="000000" w:themeColor="text1"/>
        </w:rPr>
        <w:t xml:space="preserve"> presented the main findings. </w:t>
      </w:r>
      <w:r w:rsidRPr="00490E76">
        <w:rPr>
          <w:i/>
          <w:color w:val="000000" w:themeColor="text1"/>
        </w:rPr>
        <w:t>See the annex with the report on the site visit or the PPT presentation for summary.</w:t>
      </w:r>
    </w:p>
    <w:p w:rsidR="007475C0" w:rsidRPr="000828A4" w:rsidRDefault="007475C0" w:rsidP="007475C0">
      <w:pPr>
        <w:pStyle w:val="ListParagraph"/>
        <w:ind w:left="360"/>
        <w:rPr>
          <w:color w:val="000000" w:themeColor="text1"/>
        </w:rPr>
      </w:pPr>
    </w:p>
    <w:p w:rsidR="00C553C2" w:rsidRPr="000828A4" w:rsidRDefault="00C553C2" w:rsidP="00C553C2">
      <w:pPr>
        <w:pStyle w:val="ListParagraph"/>
        <w:numPr>
          <w:ilvl w:val="0"/>
          <w:numId w:val="10"/>
        </w:numPr>
        <w:spacing w:after="0" w:line="240" w:lineRule="auto"/>
        <w:contextualSpacing w:val="0"/>
        <w:rPr>
          <w:b/>
          <w:color w:val="000000" w:themeColor="text1"/>
        </w:rPr>
      </w:pPr>
      <w:r w:rsidRPr="000828A4">
        <w:rPr>
          <w:b/>
          <w:color w:val="000000" w:themeColor="text1"/>
        </w:rPr>
        <w:t xml:space="preserve">Feedback from the field </w:t>
      </w:r>
    </w:p>
    <w:p w:rsidR="00C553C2" w:rsidRDefault="00C553C2" w:rsidP="00C553C2">
      <w:pPr>
        <w:pStyle w:val="ListParagraph"/>
        <w:spacing w:after="0" w:line="240" w:lineRule="auto"/>
        <w:ind w:left="360"/>
        <w:contextualSpacing w:val="0"/>
        <w:rPr>
          <w:color w:val="000000" w:themeColor="text1"/>
        </w:rPr>
      </w:pPr>
      <w:r>
        <w:rPr>
          <w:color w:val="000000" w:themeColor="text1"/>
        </w:rPr>
        <w:t xml:space="preserve">Jonathan </w:t>
      </w:r>
      <w:proofErr w:type="spellStart"/>
      <w:r>
        <w:rPr>
          <w:color w:val="000000" w:themeColor="text1"/>
        </w:rPr>
        <w:t>Tetteh-Kwao</w:t>
      </w:r>
      <w:proofErr w:type="spellEnd"/>
      <w:r>
        <w:rPr>
          <w:color w:val="000000" w:themeColor="text1"/>
        </w:rPr>
        <w:t xml:space="preserve"> </w:t>
      </w:r>
      <w:proofErr w:type="spellStart"/>
      <w:r>
        <w:rPr>
          <w:color w:val="000000" w:themeColor="text1"/>
        </w:rPr>
        <w:t>Teye</w:t>
      </w:r>
      <w:proofErr w:type="spellEnd"/>
      <w:r>
        <w:rPr>
          <w:color w:val="000000" w:themeColor="text1"/>
        </w:rPr>
        <w:t xml:space="preserve"> informed the OC members on a m</w:t>
      </w:r>
      <w:r w:rsidRPr="00C553C2">
        <w:rPr>
          <w:color w:val="000000" w:themeColor="text1"/>
        </w:rPr>
        <w:t xml:space="preserve">eeting of </w:t>
      </w:r>
      <w:r>
        <w:rPr>
          <w:color w:val="000000" w:themeColor="text1"/>
        </w:rPr>
        <w:t xml:space="preserve">the </w:t>
      </w:r>
      <w:r w:rsidRPr="00C553C2">
        <w:rPr>
          <w:color w:val="000000" w:themeColor="text1"/>
        </w:rPr>
        <w:t>Coalition of NGOs in Malaria</w:t>
      </w:r>
      <w:r w:rsidR="00A0389B">
        <w:rPr>
          <w:color w:val="000000" w:themeColor="text1"/>
        </w:rPr>
        <w:t xml:space="preserve"> that took place the </w:t>
      </w:r>
      <w:r w:rsidR="00A0389B" w:rsidRPr="00C553C2">
        <w:rPr>
          <w:color w:val="000000" w:themeColor="text1"/>
        </w:rPr>
        <w:t>13th July</w:t>
      </w:r>
      <w:r w:rsidR="00A0389B">
        <w:rPr>
          <w:color w:val="000000" w:themeColor="text1"/>
        </w:rPr>
        <w:t xml:space="preserve"> 2015. He pointed out that while i</w:t>
      </w:r>
      <w:r w:rsidRPr="00C553C2">
        <w:rPr>
          <w:color w:val="000000" w:themeColor="text1"/>
        </w:rPr>
        <w:t xml:space="preserve">ndividual members have the </w:t>
      </w:r>
      <w:r w:rsidR="00A0389B">
        <w:rPr>
          <w:color w:val="000000" w:themeColor="text1"/>
        </w:rPr>
        <w:t xml:space="preserve">required </w:t>
      </w:r>
      <w:r w:rsidRPr="00C553C2">
        <w:rPr>
          <w:color w:val="000000" w:themeColor="text1"/>
        </w:rPr>
        <w:t xml:space="preserve">capacities, many are lacking. </w:t>
      </w:r>
      <w:r w:rsidR="00A0389B">
        <w:rPr>
          <w:color w:val="000000" w:themeColor="text1"/>
        </w:rPr>
        <w:t xml:space="preserve">Challenges of the </w:t>
      </w:r>
      <w:r w:rsidRPr="00C553C2">
        <w:rPr>
          <w:color w:val="000000" w:themeColor="text1"/>
        </w:rPr>
        <w:t xml:space="preserve">Coalition </w:t>
      </w:r>
      <w:r w:rsidR="00A0389B">
        <w:rPr>
          <w:color w:val="000000" w:themeColor="text1"/>
        </w:rPr>
        <w:t>include the lack of a secretariat that would be necessary in order to better coordinate the activities of the Coalition and its members</w:t>
      </w:r>
      <w:r w:rsidRPr="00C553C2">
        <w:rPr>
          <w:color w:val="000000" w:themeColor="text1"/>
        </w:rPr>
        <w:t xml:space="preserve">. </w:t>
      </w:r>
      <w:r w:rsidR="00A0389B">
        <w:rPr>
          <w:color w:val="000000" w:themeColor="text1"/>
        </w:rPr>
        <w:t>The organization of a c</w:t>
      </w:r>
      <w:r w:rsidRPr="00C553C2">
        <w:rPr>
          <w:color w:val="000000" w:themeColor="text1"/>
        </w:rPr>
        <w:t xml:space="preserve">ongress </w:t>
      </w:r>
      <w:r w:rsidR="00A0389B">
        <w:rPr>
          <w:color w:val="000000" w:themeColor="text1"/>
        </w:rPr>
        <w:t xml:space="preserve">is highly </w:t>
      </w:r>
      <w:r w:rsidRPr="00C553C2">
        <w:rPr>
          <w:color w:val="000000" w:themeColor="text1"/>
        </w:rPr>
        <w:t>desir</w:t>
      </w:r>
      <w:r w:rsidR="00A0389B">
        <w:rPr>
          <w:color w:val="000000" w:themeColor="text1"/>
        </w:rPr>
        <w:t>able</w:t>
      </w:r>
      <w:r w:rsidRPr="00C553C2">
        <w:rPr>
          <w:color w:val="000000" w:themeColor="text1"/>
        </w:rPr>
        <w:t xml:space="preserve">, </w:t>
      </w:r>
      <w:r w:rsidR="00A0389B">
        <w:rPr>
          <w:color w:val="000000" w:themeColor="text1"/>
        </w:rPr>
        <w:t xml:space="preserve">but </w:t>
      </w:r>
      <w:r w:rsidRPr="00C553C2">
        <w:rPr>
          <w:color w:val="000000" w:themeColor="text1"/>
        </w:rPr>
        <w:t xml:space="preserve">has not happened in the past. </w:t>
      </w:r>
      <w:r w:rsidR="00A0389B">
        <w:rPr>
          <w:color w:val="000000" w:themeColor="text1"/>
        </w:rPr>
        <w:t>Furthermore, there are i</w:t>
      </w:r>
      <w:r w:rsidRPr="00C553C2">
        <w:rPr>
          <w:color w:val="000000" w:themeColor="text1"/>
        </w:rPr>
        <w:t xml:space="preserve">ssues of transparency within the </w:t>
      </w:r>
      <w:r w:rsidR="00A0389B">
        <w:rPr>
          <w:color w:val="000000" w:themeColor="text1"/>
        </w:rPr>
        <w:t>C</w:t>
      </w:r>
      <w:r w:rsidRPr="00C553C2">
        <w:rPr>
          <w:color w:val="000000" w:themeColor="text1"/>
        </w:rPr>
        <w:t>oalition.</w:t>
      </w:r>
    </w:p>
    <w:p w:rsidR="00C553C2" w:rsidRPr="000828A4" w:rsidRDefault="00C553C2" w:rsidP="00C553C2">
      <w:pPr>
        <w:pStyle w:val="ListParagraph"/>
        <w:spacing w:after="0" w:line="240" w:lineRule="auto"/>
        <w:ind w:left="360"/>
        <w:contextualSpacing w:val="0"/>
        <w:rPr>
          <w:color w:val="000000" w:themeColor="text1"/>
        </w:rPr>
      </w:pPr>
    </w:p>
    <w:p w:rsidR="00C553C2" w:rsidRPr="000828A4" w:rsidRDefault="00C553C2" w:rsidP="00C553C2">
      <w:pPr>
        <w:pStyle w:val="ListParagraph"/>
        <w:numPr>
          <w:ilvl w:val="0"/>
          <w:numId w:val="10"/>
        </w:numPr>
        <w:spacing w:after="0" w:line="240" w:lineRule="auto"/>
        <w:contextualSpacing w:val="0"/>
        <w:rPr>
          <w:b/>
          <w:color w:val="000000" w:themeColor="text1"/>
        </w:rPr>
      </w:pPr>
      <w:r w:rsidRPr="000828A4">
        <w:rPr>
          <w:b/>
          <w:color w:val="000000" w:themeColor="text1"/>
        </w:rPr>
        <w:t>Tightened oversight</w:t>
      </w:r>
    </w:p>
    <w:p w:rsidR="00C553C2" w:rsidRDefault="00C553C2" w:rsidP="00C553C2">
      <w:pPr>
        <w:pStyle w:val="ListParagraph"/>
        <w:spacing w:after="0" w:line="240" w:lineRule="auto"/>
        <w:ind w:left="360"/>
        <w:contextualSpacing w:val="0"/>
        <w:rPr>
          <w:color w:val="000000" w:themeColor="text1"/>
        </w:rPr>
      </w:pPr>
      <w:proofErr w:type="spellStart"/>
      <w:r>
        <w:rPr>
          <w:color w:val="000000" w:themeColor="text1"/>
        </w:rPr>
        <w:t>Annekatrin</w:t>
      </w:r>
      <w:proofErr w:type="spellEnd"/>
      <w:r>
        <w:rPr>
          <w:color w:val="000000" w:themeColor="text1"/>
        </w:rPr>
        <w:t xml:space="preserve"> El </w:t>
      </w:r>
      <w:proofErr w:type="spellStart"/>
      <w:r>
        <w:rPr>
          <w:color w:val="000000" w:themeColor="text1"/>
        </w:rPr>
        <w:t>Oumrany</w:t>
      </w:r>
      <w:proofErr w:type="spellEnd"/>
      <w:r>
        <w:rPr>
          <w:color w:val="000000" w:themeColor="text1"/>
        </w:rPr>
        <w:t xml:space="preserve"> informed the OC members about the first steps regarding the tightened oversight with </w:t>
      </w:r>
      <w:r w:rsidR="00810A17">
        <w:rPr>
          <w:color w:val="000000" w:themeColor="text1"/>
        </w:rPr>
        <w:t>NMCP</w:t>
      </w:r>
      <w:r>
        <w:rPr>
          <w:color w:val="000000" w:themeColor="text1"/>
        </w:rPr>
        <w:t xml:space="preserve">. </w:t>
      </w:r>
      <w:r w:rsidR="00810A17">
        <w:rPr>
          <w:color w:val="000000" w:themeColor="text1"/>
        </w:rPr>
        <w:t>During an</w:t>
      </w:r>
      <w:r>
        <w:rPr>
          <w:color w:val="000000" w:themeColor="text1"/>
        </w:rPr>
        <w:t xml:space="preserve"> initial meeting</w:t>
      </w:r>
      <w:r w:rsidR="00810A17">
        <w:rPr>
          <w:color w:val="000000" w:themeColor="text1"/>
        </w:rPr>
        <w:t xml:space="preserve">, </w:t>
      </w:r>
      <w:r>
        <w:rPr>
          <w:color w:val="000000" w:themeColor="text1"/>
        </w:rPr>
        <w:t xml:space="preserve">the participants agreed on key performance indicators that could be reported on monthly and </w:t>
      </w:r>
      <w:r w:rsidR="00810A17">
        <w:rPr>
          <w:color w:val="000000" w:themeColor="text1"/>
        </w:rPr>
        <w:t xml:space="preserve">on </w:t>
      </w:r>
      <w:r>
        <w:rPr>
          <w:color w:val="000000" w:themeColor="text1"/>
        </w:rPr>
        <w:t>the general way forward</w:t>
      </w:r>
      <w:r w:rsidR="00810A17">
        <w:rPr>
          <w:color w:val="000000" w:themeColor="text1"/>
        </w:rPr>
        <w:t>. NMCP is</w:t>
      </w:r>
      <w:r>
        <w:rPr>
          <w:color w:val="000000" w:themeColor="text1"/>
        </w:rPr>
        <w:t xml:space="preserve"> requested to fill a monthly reporting template that contains the key performance indicators as well as a narrative part on current/expected future challenges and opportunities using bullet points. Unfortunately, </w:t>
      </w:r>
      <w:r w:rsidR="00810A17">
        <w:rPr>
          <w:color w:val="000000" w:themeColor="text1"/>
        </w:rPr>
        <w:t>up to now NMCP failed to</w:t>
      </w:r>
      <w:r>
        <w:rPr>
          <w:color w:val="000000" w:themeColor="text1"/>
        </w:rPr>
        <w:t xml:space="preserve"> deliver the first monthly report</w:t>
      </w:r>
      <w:r w:rsidR="00810A17">
        <w:rPr>
          <w:color w:val="000000" w:themeColor="text1"/>
        </w:rPr>
        <w:t xml:space="preserve"> claiming that the dashboard and its review can serve the same target</w:t>
      </w:r>
      <w:r>
        <w:rPr>
          <w:color w:val="000000" w:themeColor="text1"/>
        </w:rPr>
        <w:t xml:space="preserve">. The tightened oversight committees </w:t>
      </w:r>
      <w:r w:rsidR="00810A17">
        <w:rPr>
          <w:color w:val="000000" w:themeColor="text1"/>
        </w:rPr>
        <w:t xml:space="preserve">present in this dashboard review meeting explained to </w:t>
      </w:r>
      <w:proofErr w:type="spellStart"/>
      <w:r w:rsidR="00810A17">
        <w:rPr>
          <w:color w:val="000000" w:themeColor="text1"/>
        </w:rPr>
        <w:t>Wahjib</w:t>
      </w:r>
      <w:proofErr w:type="spellEnd"/>
      <w:r w:rsidR="00810A17">
        <w:rPr>
          <w:color w:val="000000" w:themeColor="text1"/>
        </w:rPr>
        <w:t xml:space="preserve"> Mohamed the importance of a separate monthly report. Furthermore, it turned out during the oversight committee meeting that it has a different focus than the monthly oversight meeting. Due to the time needed for the dashboard review, it will not be possible to combine both reviews in the same meeting. NMCP was requested again to provide the monthly report.</w:t>
      </w:r>
      <w:r>
        <w:rPr>
          <w:color w:val="000000" w:themeColor="text1"/>
        </w:rPr>
        <w:t xml:space="preserve"> </w:t>
      </w:r>
    </w:p>
    <w:p w:rsidR="00C553C2" w:rsidRPr="000828A4" w:rsidRDefault="00C553C2" w:rsidP="00C553C2">
      <w:pPr>
        <w:pStyle w:val="ListParagraph"/>
        <w:rPr>
          <w:color w:val="000000" w:themeColor="text1"/>
        </w:rPr>
      </w:pPr>
    </w:p>
    <w:p w:rsidR="00C553C2" w:rsidRDefault="00C553C2" w:rsidP="00C553C2">
      <w:pPr>
        <w:pStyle w:val="ListParagraph"/>
        <w:numPr>
          <w:ilvl w:val="0"/>
          <w:numId w:val="10"/>
        </w:numPr>
        <w:spacing w:after="0" w:line="240" w:lineRule="auto"/>
        <w:contextualSpacing w:val="0"/>
        <w:rPr>
          <w:b/>
          <w:color w:val="000000" w:themeColor="text1"/>
        </w:rPr>
      </w:pPr>
      <w:r w:rsidRPr="000828A4">
        <w:rPr>
          <w:b/>
          <w:color w:val="000000" w:themeColor="text1"/>
        </w:rPr>
        <w:t>Functioning of the OC meetings</w:t>
      </w:r>
    </w:p>
    <w:p w:rsidR="00C553C2" w:rsidRDefault="00C553C2" w:rsidP="00C553C2">
      <w:pPr>
        <w:pStyle w:val="ListParagraph"/>
        <w:spacing w:after="0" w:line="240" w:lineRule="auto"/>
        <w:ind w:left="360"/>
        <w:contextualSpacing w:val="0"/>
        <w:rPr>
          <w:color w:val="000000" w:themeColor="text1"/>
        </w:rPr>
      </w:pPr>
      <w:r>
        <w:rPr>
          <w:color w:val="000000" w:themeColor="text1"/>
        </w:rPr>
        <w:t xml:space="preserve">For the first time, the OC dedicated 30 min to internal issues only. It was agreed by the oversight committee, that this should be continued, while the time shall be expanded to 45 min. </w:t>
      </w:r>
      <w:proofErr w:type="spellStart"/>
      <w:r w:rsidR="00810A17">
        <w:rPr>
          <w:color w:val="000000" w:themeColor="text1"/>
        </w:rPr>
        <w:t>Annekatrin</w:t>
      </w:r>
      <w:proofErr w:type="spellEnd"/>
      <w:r w:rsidR="00810A17">
        <w:rPr>
          <w:color w:val="000000" w:themeColor="text1"/>
        </w:rPr>
        <w:t xml:space="preserve"> El </w:t>
      </w:r>
      <w:proofErr w:type="spellStart"/>
      <w:r w:rsidR="00810A17">
        <w:rPr>
          <w:color w:val="000000" w:themeColor="text1"/>
        </w:rPr>
        <w:t>Oumrany</w:t>
      </w:r>
      <w:proofErr w:type="spellEnd"/>
      <w:r w:rsidR="00810A17">
        <w:rPr>
          <w:color w:val="000000" w:themeColor="text1"/>
        </w:rPr>
        <w:t xml:space="preserve"> explained to the PRs the idea of a specific time slot for each dashboard review, so that each PR would only have to be present for its own dashboard review. The PRs </w:t>
      </w:r>
      <w:r w:rsidR="00DC54A4">
        <w:rPr>
          <w:color w:val="000000" w:themeColor="text1"/>
        </w:rPr>
        <w:t xml:space="preserve">supported this idea. For more flexibility, it is preferable if the Malaria OC meetings take place at NMCP. </w:t>
      </w:r>
    </w:p>
    <w:p w:rsidR="002A2E83" w:rsidRPr="000828A4" w:rsidRDefault="002A2E83" w:rsidP="000828A4">
      <w:pPr>
        <w:pStyle w:val="ListParagraph"/>
        <w:spacing w:after="0" w:line="240" w:lineRule="auto"/>
        <w:ind w:left="360"/>
        <w:contextualSpacing w:val="0"/>
        <w:rPr>
          <w:color w:val="000000" w:themeColor="text1"/>
        </w:rPr>
      </w:pPr>
    </w:p>
    <w:p w:rsidR="000828A4" w:rsidRPr="00DC54A4" w:rsidRDefault="000828A4" w:rsidP="00DC54A4">
      <w:pPr>
        <w:spacing w:after="0" w:line="240" w:lineRule="auto"/>
        <w:rPr>
          <w:color w:val="000000" w:themeColor="text1"/>
        </w:rPr>
      </w:pPr>
    </w:p>
    <w:p w:rsidR="007475C0" w:rsidRDefault="007475C0">
      <w:pPr>
        <w:rPr>
          <w:b/>
          <w:sz w:val="24"/>
          <w:szCs w:val="24"/>
        </w:rPr>
      </w:pPr>
      <w:r>
        <w:rPr>
          <w:b/>
          <w:sz w:val="24"/>
          <w:szCs w:val="24"/>
        </w:rPr>
        <w:br w:type="page"/>
      </w:r>
    </w:p>
    <w:p w:rsidR="006F3793" w:rsidRPr="00962157" w:rsidRDefault="008C026B" w:rsidP="00962157">
      <w:pPr>
        <w:pStyle w:val="ListParagraph"/>
        <w:numPr>
          <w:ilvl w:val="0"/>
          <w:numId w:val="1"/>
        </w:numPr>
        <w:spacing w:before="240"/>
        <w:ind w:left="357" w:hanging="357"/>
        <w:contextualSpacing w:val="0"/>
        <w:jc w:val="both"/>
        <w:rPr>
          <w:b/>
          <w:sz w:val="24"/>
          <w:szCs w:val="24"/>
        </w:rPr>
      </w:pPr>
      <w:r w:rsidRPr="00962157">
        <w:rPr>
          <w:b/>
          <w:sz w:val="24"/>
          <w:szCs w:val="24"/>
        </w:rPr>
        <w:lastRenderedPageBreak/>
        <w:t>AGA MAL Dash Board:</w:t>
      </w:r>
    </w:p>
    <w:p w:rsidR="008C026B" w:rsidRPr="00962157" w:rsidRDefault="008C026B" w:rsidP="00671CBC">
      <w:pPr>
        <w:pStyle w:val="ListParagraph"/>
        <w:numPr>
          <w:ilvl w:val="0"/>
          <w:numId w:val="5"/>
        </w:numPr>
        <w:spacing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5"/>
        <w:gridCol w:w="2658"/>
        <w:gridCol w:w="5712"/>
      </w:tblGrid>
      <w:tr w:rsidR="00671CBC" w:rsidTr="00627DBA">
        <w:tc>
          <w:tcPr>
            <w:tcW w:w="1055" w:type="dxa"/>
          </w:tcPr>
          <w:p w:rsidR="00671CBC" w:rsidRDefault="00671CBC" w:rsidP="00B8440B">
            <w:pPr>
              <w:pStyle w:val="ListParagraph"/>
              <w:spacing w:before="120"/>
              <w:ind w:left="0"/>
              <w:contextualSpacing w:val="0"/>
              <w:jc w:val="both"/>
              <w:rPr>
                <w:b/>
              </w:rPr>
            </w:pPr>
            <w:r>
              <w:rPr>
                <w:b/>
              </w:rPr>
              <w:t>Indicator</w:t>
            </w:r>
          </w:p>
        </w:tc>
        <w:tc>
          <w:tcPr>
            <w:tcW w:w="2658" w:type="dxa"/>
          </w:tcPr>
          <w:p w:rsidR="00671CBC" w:rsidRDefault="00671CBC" w:rsidP="00B8440B">
            <w:pPr>
              <w:pStyle w:val="ListParagraph"/>
              <w:spacing w:before="120"/>
              <w:ind w:left="0"/>
              <w:contextualSpacing w:val="0"/>
              <w:jc w:val="both"/>
              <w:rPr>
                <w:b/>
              </w:rPr>
            </w:pPr>
            <w:r>
              <w:rPr>
                <w:b/>
              </w:rPr>
              <w:t xml:space="preserve">Observation </w:t>
            </w:r>
          </w:p>
        </w:tc>
        <w:tc>
          <w:tcPr>
            <w:tcW w:w="5712" w:type="dxa"/>
          </w:tcPr>
          <w:p w:rsidR="00671CBC" w:rsidRDefault="00671CBC" w:rsidP="00B8440B">
            <w:pPr>
              <w:pStyle w:val="ListParagraph"/>
              <w:spacing w:before="120"/>
              <w:ind w:left="0"/>
              <w:contextualSpacing w:val="0"/>
              <w:jc w:val="both"/>
              <w:rPr>
                <w:b/>
              </w:rPr>
            </w:pPr>
            <w:r>
              <w:rPr>
                <w:b/>
              </w:rPr>
              <w:t xml:space="preserve">Answer / Decision </w:t>
            </w:r>
          </w:p>
        </w:tc>
      </w:tr>
      <w:tr w:rsidR="00671CBC" w:rsidTr="00627DBA">
        <w:tc>
          <w:tcPr>
            <w:tcW w:w="1055" w:type="dxa"/>
          </w:tcPr>
          <w:p w:rsidR="00671CBC" w:rsidRDefault="00D81A65" w:rsidP="00B8440B">
            <w:pPr>
              <w:pStyle w:val="ListParagraph"/>
              <w:spacing w:before="120"/>
              <w:ind w:left="0"/>
              <w:contextualSpacing w:val="0"/>
              <w:jc w:val="both"/>
              <w:rPr>
                <w:b/>
              </w:rPr>
            </w:pPr>
            <w:r>
              <w:rPr>
                <w:b/>
              </w:rPr>
              <w:t>F1</w:t>
            </w:r>
          </w:p>
        </w:tc>
        <w:tc>
          <w:tcPr>
            <w:tcW w:w="2658" w:type="dxa"/>
          </w:tcPr>
          <w:p w:rsidR="00671CBC" w:rsidRPr="006A6F0E" w:rsidRDefault="006A6F0E" w:rsidP="006A6F0E">
            <w:pPr>
              <w:pStyle w:val="ListParagraph"/>
              <w:spacing w:before="120"/>
              <w:ind w:left="0"/>
              <w:contextualSpacing w:val="0"/>
            </w:pPr>
            <w:r>
              <w:t>144% burn rate</w:t>
            </w:r>
          </w:p>
        </w:tc>
        <w:tc>
          <w:tcPr>
            <w:tcW w:w="5712" w:type="dxa"/>
          </w:tcPr>
          <w:p w:rsidR="00671CBC" w:rsidRPr="006A6F0E" w:rsidRDefault="006A6F0E" w:rsidP="006A6F0E">
            <w:pPr>
              <w:pStyle w:val="ListParagraph"/>
              <w:spacing w:before="120"/>
              <w:ind w:left="0"/>
              <w:contextualSpacing w:val="0"/>
            </w:pPr>
            <w:r>
              <w:t xml:space="preserve">Due to </w:t>
            </w:r>
            <w:r w:rsidRPr="006A6F0E">
              <w:t>3.5m ca</w:t>
            </w:r>
            <w:r>
              <w:t>sh</w:t>
            </w:r>
            <w:r w:rsidRPr="006A6F0E">
              <w:t xml:space="preserve"> balance from previous grant</w:t>
            </w:r>
            <w:r w:rsidR="00154801">
              <w:t>. No more disbursements in 2015. Will procure insecticides in Dec. 2015</w:t>
            </w:r>
          </w:p>
        </w:tc>
      </w:tr>
      <w:tr w:rsidR="00D81A65" w:rsidTr="00627DBA">
        <w:tc>
          <w:tcPr>
            <w:tcW w:w="1055" w:type="dxa"/>
          </w:tcPr>
          <w:p w:rsidR="00D81A65" w:rsidRDefault="00D81A65" w:rsidP="00B8440B">
            <w:pPr>
              <w:pStyle w:val="ListParagraph"/>
              <w:spacing w:before="120"/>
              <w:ind w:left="0"/>
              <w:contextualSpacing w:val="0"/>
              <w:jc w:val="both"/>
              <w:rPr>
                <w:b/>
              </w:rPr>
            </w:pPr>
            <w:r>
              <w:rPr>
                <w:b/>
              </w:rPr>
              <w:t>F2</w:t>
            </w:r>
          </w:p>
        </w:tc>
        <w:tc>
          <w:tcPr>
            <w:tcW w:w="2658" w:type="dxa"/>
          </w:tcPr>
          <w:p w:rsidR="00D81A65" w:rsidRDefault="006A6F0E" w:rsidP="006A6F0E">
            <w:pPr>
              <w:pStyle w:val="ListParagraph"/>
              <w:spacing w:before="120"/>
              <w:ind w:left="0"/>
              <w:contextualSpacing w:val="0"/>
            </w:pPr>
            <w:r w:rsidRPr="006A6F0E">
              <w:t>Expenditures &gt; disbursement</w:t>
            </w:r>
          </w:p>
          <w:p w:rsidR="004568F4" w:rsidRDefault="003A6DF2" w:rsidP="006A6F0E">
            <w:pPr>
              <w:pStyle w:val="ListParagraph"/>
              <w:spacing w:before="120"/>
              <w:ind w:left="0"/>
              <w:contextualSpacing w:val="0"/>
            </w:pPr>
            <w:r>
              <w:t xml:space="preserve">6% burn rate on communication </w:t>
            </w:r>
          </w:p>
          <w:p w:rsidR="004568F4" w:rsidRDefault="004568F4" w:rsidP="006A6F0E">
            <w:pPr>
              <w:pStyle w:val="ListParagraph"/>
              <w:spacing w:before="120"/>
              <w:ind w:left="0"/>
              <w:contextualSpacing w:val="0"/>
            </w:pPr>
          </w:p>
          <w:p w:rsidR="004568F4" w:rsidRDefault="004568F4" w:rsidP="006A6F0E">
            <w:pPr>
              <w:pStyle w:val="ListParagraph"/>
              <w:spacing w:before="120"/>
              <w:ind w:left="0"/>
              <w:contextualSpacing w:val="0"/>
            </w:pPr>
          </w:p>
          <w:p w:rsidR="004568F4" w:rsidRDefault="004568F4" w:rsidP="006A6F0E">
            <w:pPr>
              <w:pStyle w:val="ListParagraph"/>
              <w:spacing w:before="120"/>
              <w:ind w:left="0"/>
              <w:contextualSpacing w:val="0"/>
            </w:pPr>
          </w:p>
          <w:p w:rsidR="004568F4" w:rsidRDefault="004568F4" w:rsidP="006A6F0E">
            <w:pPr>
              <w:pStyle w:val="ListParagraph"/>
              <w:spacing w:before="120"/>
              <w:ind w:left="0"/>
              <w:contextualSpacing w:val="0"/>
            </w:pPr>
          </w:p>
          <w:p w:rsidR="004568F4" w:rsidRDefault="004568F4" w:rsidP="00627DBA">
            <w:pPr>
              <w:pStyle w:val="ListParagraph"/>
              <w:spacing w:before="120"/>
              <w:ind w:left="0"/>
              <w:contextualSpacing w:val="0"/>
            </w:pPr>
            <w:r>
              <w:t>2</w:t>
            </w:r>
            <w:r w:rsidR="00627DBA">
              <w:t>3</w:t>
            </w:r>
            <w:r>
              <w:t xml:space="preserve">% </w:t>
            </w:r>
            <w:r w:rsidR="006B2933">
              <w:t xml:space="preserve">burn rate for </w:t>
            </w:r>
            <w:proofErr w:type="spellStart"/>
            <w:r w:rsidR="006B2933">
              <w:t xml:space="preserve">non </w:t>
            </w:r>
            <w:r w:rsidR="00627DBA">
              <w:t>health</w:t>
            </w:r>
            <w:proofErr w:type="spellEnd"/>
            <w:r w:rsidR="00627DBA">
              <w:t xml:space="preserve"> products </w:t>
            </w:r>
          </w:p>
          <w:p w:rsidR="00627DBA" w:rsidRDefault="00627DBA" w:rsidP="00627DBA">
            <w:pPr>
              <w:pStyle w:val="ListParagraph"/>
              <w:spacing w:before="120"/>
              <w:ind w:left="0"/>
              <w:contextualSpacing w:val="0"/>
            </w:pPr>
          </w:p>
          <w:p w:rsidR="00627DBA" w:rsidRDefault="00627DBA" w:rsidP="00627DBA">
            <w:pPr>
              <w:pStyle w:val="ListParagraph"/>
              <w:spacing w:before="120"/>
              <w:ind w:left="0"/>
              <w:contextualSpacing w:val="0"/>
            </w:pPr>
          </w:p>
          <w:p w:rsidR="00627DBA" w:rsidRPr="006A6F0E" w:rsidRDefault="00627DBA" w:rsidP="00627DBA">
            <w:pPr>
              <w:pStyle w:val="ListParagraph"/>
              <w:spacing w:before="120"/>
              <w:ind w:left="0"/>
              <w:contextualSpacing w:val="0"/>
            </w:pPr>
            <w:r>
              <w:t>Low burn rate for all categories except PSM</w:t>
            </w:r>
          </w:p>
        </w:tc>
        <w:tc>
          <w:tcPr>
            <w:tcW w:w="5712" w:type="dxa"/>
          </w:tcPr>
          <w:p w:rsidR="003A6DF2" w:rsidRDefault="006A6F0E" w:rsidP="006A6F0E">
            <w:pPr>
              <w:pStyle w:val="ListParagraph"/>
              <w:spacing w:before="120"/>
              <w:ind w:left="0"/>
              <w:contextualSpacing w:val="0"/>
            </w:pPr>
            <w:r>
              <w:t>See above</w:t>
            </w:r>
            <w:r w:rsidR="00FE3291">
              <w:t xml:space="preserve">. Funding for procurement = roll over from previous grant. Was committed since Dec 2014. </w:t>
            </w:r>
          </w:p>
          <w:p w:rsidR="00D81A65" w:rsidRDefault="00FE3291" w:rsidP="006A6F0E">
            <w:pPr>
              <w:pStyle w:val="ListParagraph"/>
              <w:spacing w:before="120"/>
              <w:ind w:left="0"/>
              <w:contextualSpacing w:val="0"/>
            </w:pPr>
            <w:r>
              <w:t>When scale down, excess of comm</w:t>
            </w:r>
            <w:r w:rsidR="006B2933">
              <w:t>unication</w:t>
            </w:r>
            <w:r>
              <w:t xml:space="preserve"> materials from UE region. </w:t>
            </w:r>
            <w:r w:rsidR="003A6DF2">
              <w:t xml:space="preserve">Reprint not necessary as budgeted. However, AGA Mal intends to reintroduce </w:t>
            </w:r>
            <w:r w:rsidR="00D46A4E">
              <w:t xml:space="preserve">geocoding </w:t>
            </w:r>
            <w:r w:rsidR="003A6DF2">
              <w:t>s</w:t>
            </w:r>
            <w:r>
              <w:t>tickers to mark houses sprayed</w:t>
            </w:r>
            <w:r w:rsidR="00D46A4E" w:rsidRPr="00D46A4E">
              <w:t>, replacing the currently used chalk markings</w:t>
            </w:r>
            <w:r w:rsidR="00627DBA">
              <w:t xml:space="preserve">. The advantage of the </w:t>
            </w:r>
            <w:r w:rsidR="004E7E46" w:rsidRPr="004E7E46">
              <w:t xml:space="preserve">sticker </w:t>
            </w:r>
            <w:r w:rsidR="004E7E46">
              <w:t xml:space="preserve">is that </w:t>
            </w:r>
            <w:r w:rsidR="004E7E46" w:rsidRPr="004E7E46">
              <w:t>the geocoded database will contain additional demographics of inhabitants and number of rooms etc.</w:t>
            </w:r>
            <w:r w:rsidR="00627DBA">
              <w:t xml:space="preserve"> that can be </w:t>
            </w:r>
            <w:r>
              <w:t>read out electronically.</w:t>
            </w:r>
            <w:r w:rsidR="00627DBA">
              <w:t xml:space="preserve"> This provides a big advantage for data analysis.</w:t>
            </w:r>
            <w:r>
              <w:t xml:space="preserve"> </w:t>
            </w:r>
          </w:p>
          <w:p w:rsidR="004568F4" w:rsidRPr="006A6F0E" w:rsidRDefault="004568F4" w:rsidP="00B64878">
            <w:pPr>
              <w:pStyle w:val="ListParagraph"/>
              <w:spacing w:before="120"/>
              <w:ind w:left="0"/>
              <w:contextualSpacing w:val="0"/>
            </w:pPr>
            <w:r>
              <w:t>Non health products</w:t>
            </w:r>
            <w:r w:rsidR="00B64878">
              <w:t xml:space="preserve"> =</w:t>
            </w:r>
            <w:r>
              <w:t xml:space="preserve"> personal protection equipment. Due to scale down, </w:t>
            </w:r>
            <w:r w:rsidR="00B64878">
              <w:t xml:space="preserve">unused equipment left over that can be used in UW before new procurement is necessary. </w:t>
            </w:r>
            <w:r w:rsidR="00154801">
              <w:t>Possible that there is a saving. Projection only possible in the end of 2015.</w:t>
            </w:r>
          </w:p>
        </w:tc>
      </w:tr>
      <w:tr w:rsidR="00671CBC" w:rsidTr="00627DBA">
        <w:tc>
          <w:tcPr>
            <w:tcW w:w="1055" w:type="dxa"/>
          </w:tcPr>
          <w:p w:rsidR="00671CBC" w:rsidRDefault="00671CBC" w:rsidP="00B8440B">
            <w:pPr>
              <w:pStyle w:val="ListParagraph"/>
              <w:spacing w:before="120"/>
              <w:ind w:left="0"/>
              <w:contextualSpacing w:val="0"/>
              <w:jc w:val="both"/>
              <w:rPr>
                <w:b/>
              </w:rPr>
            </w:pPr>
            <w:r>
              <w:rPr>
                <w:b/>
              </w:rPr>
              <w:t>F4</w:t>
            </w:r>
          </w:p>
        </w:tc>
        <w:tc>
          <w:tcPr>
            <w:tcW w:w="2658" w:type="dxa"/>
          </w:tcPr>
          <w:p w:rsidR="00671CBC" w:rsidRPr="006A6F0E" w:rsidRDefault="000B0271" w:rsidP="006A6F0E">
            <w:pPr>
              <w:pStyle w:val="ListParagraph"/>
              <w:spacing w:before="120"/>
              <w:ind w:left="0"/>
              <w:contextualSpacing w:val="0"/>
            </w:pPr>
            <w:r>
              <w:t>Number missing in line 67</w:t>
            </w:r>
          </w:p>
        </w:tc>
        <w:tc>
          <w:tcPr>
            <w:tcW w:w="5712" w:type="dxa"/>
          </w:tcPr>
          <w:p w:rsidR="00671CBC" w:rsidRPr="006A6F0E" w:rsidRDefault="000B0271" w:rsidP="006A6F0E">
            <w:pPr>
              <w:pStyle w:val="ListParagraph"/>
              <w:spacing w:before="120"/>
              <w:ind w:left="0"/>
              <w:contextualSpacing w:val="0"/>
            </w:pPr>
            <w:r>
              <w:t xml:space="preserve">No disbursement request, disbursement came automatically </w:t>
            </w:r>
          </w:p>
        </w:tc>
      </w:tr>
    </w:tbl>
    <w:p w:rsidR="002611FF" w:rsidRPr="00F13BBA" w:rsidRDefault="002611FF" w:rsidP="00671CBC">
      <w:pPr>
        <w:pStyle w:val="ListParagraph"/>
        <w:numPr>
          <w:ilvl w:val="0"/>
          <w:numId w:val="5"/>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055"/>
        <w:gridCol w:w="2654"/>
        <w:gridCol w:w="5716"/>
      </w:tblGrid>
      <w:tr w:rsidR="00371F42" w:rsidTr="001F7728">
        <w:tc>
          <w:tcPr>
            <w:tcW w:w="1055" w:type="dxa"/>
          </w:tcPr>
          <w:p w:rsidR="00371F42" w:rsidRDefault="00371F42" w:rsidP="00B8440B">
            <w:pPr>
              <w:pStyle w:val="ListParagraph"/>
              <w:spacing w:before="120"/>
              <w:ind w:left="0"/>
              <w:contextualSpacing w:val="0"/>
              <w:jc w:val="both"/>
              <w:rPr>
                <w:b/>
              </w:rPr>
            </w:pPr>
            <w:r>
              <w:rPr>
                <w:b/>
              </w:rPr>
              <w:t>Indicator</w:t>
            </w:r>
          </w:p>
        </w:tc>
        <w:tc>
          <w:tcPr>
            <w:tcW w:w="2654" w:type="dxa"/>
          </w:tcPr>
          <w:p w:rsidR="00371F42" w:rsidRDefault="00371F42" w:rsidP="00B8440B">
            <w:pPr>
              <w:pStyle w:val="ListParagraph"/>
              <w:spacing w:before="120"/>
              <w:ind w:left="0"/>
              <w:contextualSpacing w:val="0"/>
              <w:jc w:val="both"/>
              <w:rPr>
                <w:b/>
              </w:rPr>
            </w:pPr>
            <w:r>
              <w:rPr>
                <w:b/>
              </w:rPr>
              <w:t xml:space="preserve">Observation  </w:t>
            </w:r>
          </w:p>
        </w:tc>
        <w:tc>
          <w:tcPr>
            <w:tcW w:w="5716" w:type="dxa"/>
          </w:tcPr>
          <w:p w:rsidR="00371F42" w:rsidRDefault="00371F42" w:rsidP="00B8440B">
            <w:pPr>
              <w:pStyle w:val="ListParagraph"/>
              <w:spacing w:before="120"/>
              <w:ind w:left="0"/>
              <w:contextualSpacing w:val="0"/>
              <w:jc w:val="both"/>
              <w:rPr>
                <w:b/>
              </w:rPr>
            </w:pPr>
            <w:r>
              <w:rPr>
                <w:b/>
              </w:rPr>
              <w:t xml:space="preserve">Answer / Decision </w:t>
            </w:r>
          </w:p>
        </w:tc>
      </w:tr>
      <w:tr w:rsidR="00371F42" w:rsidTr="001F7728">
        <w:tc>
          <w:tcPr>
            <w:tcW w:w="1055" w:type="dxa"/>
          </w:tcPr>
          <w:p w:rsidR="00371F42" w:rsidRDefault="00371F42" w:rsidP="00B8440B">
            <w:pPr>
              <w:pStyle w:val="ListParagraph"/>
              <w:spacing w:before="120"/>
              <w:ind w:left="0"/>
              <w:contextualSpacing w:val="0"/>
              <w:jc w:val="both"/>
              <w:rPr>
                <w:b/>
              </w:rPr>
            </w:pPr>
            <w:r>
              <w:rPr>
                <w:b/>
              </w:rPr>
              <w:t>M1</w:t>
            </w:r>
          </w:p>
        </w:tc>
        <w:tc>
          <w:tcPr>
            <w:tcW w:w="2654" w:type="dxa"/>
          </w:tcPr>
          <w:p w:rsidR="00371F42" w:rsidRPr="000B0271" w:rsidRDefault="000B0271" w:rsidP="00B8440B">
            <w:pPr>
              <w:pStyle w:val="ListParagraph"/>
              <w:spacing w:before="120"/>
              <w:ind w:left="0"/>
              <w:contextualSpacing w:val="0"/>
              <w:jc w:val="both"/>
            </w:pPr>
            <w:r w:rsidRPr="000B0271">
              <w:t>5 CPs?</w:t>
            </w:r>
          </w:p>
        </w:tc>
        <w:tc>
          <w:tcPr>
            <w:tcW w:w="5716" w:type="dxa"/>
          </w:tcPr>
          <w:p w:rsidR="00371F42" w:rsidRPr="000B0271" w:rsidRDefault="000B0271" w:rsidP="00B8440B">
            <w:pPr>
              <w:pStyle w:val="ListParagraph"/>
              <w:spacing w:before="120"/>
              <w:ind w:left="0"/>
              <w:contextualSpacing w:val="0"/>
              <w:jc w:val="both"/>
            </w:pPr>
            <w:r>
              <w:t>Carried over from previous DB. Will be taken out</w:t>
            </w:r>
            <w:r w:rsidR="00C72DA2">
              <w:t xml:space="preserve"> during next dashboard</w:t>
            </w:r>
          </w:p>
        </w:tc>
      </w:tr>
      <w:tr w:rsidR="00371F42" w:rsidTr="001F7728">
        <w:tc>
          <w:tcPr>
            <w:tcW w:w="1055" w:type="dxa"/>
          </w:tcPr>
          <w:p w:rsidR="00371F42" w:rsidRDefault="00371F42" w:rsidP="00B8440B">
            <w:pPr>
              <w:pStyle w:val="ListParagraph"/>
              <w:spacing w:before="120"/>
              <w:ind w:left="0"/>
              <w:contextualSpacing w:val="0"/>
              <w:jc w:val="both"/>
              <w:rPr>
                <w:b/>
              </w:rPr>
            </w:pPr>
            <w:r>
              <w:rPr>
                <w:b/>
              </w:rPr>
              <w:t>M2</w:t>
            </w:r>
          </w:p>
        </w:tc>
        <w:tc>
          <w:tcPr>
            <w:tcW w:w="2654" w:type="dxa"/>
          </w:tcPr>
          <w:p w:rsidR="00371F42" w:rsidRPr="000B0271" w:rsidRDefault="000B0271" w:rsidP="00B8440B">
            <w:pPr>
              <w:pStyle w:val="ListParagraph"/>
              <w:spacing w:before="120"/>
              <w:ind w:left="0"/>
              <w:contextualSpacing w:val="0"/>
              <w:jc w:val="both"/>
            </w:pPr>
            <w:r>
              <w:t>Carried over from last DB?</w:t>
            </w:r>
          </w:p>
        </w:tc>
        <w:tc>
          <w:tcPr>
            <w:tcW w:w="5716" w:type="dxa"/>
          </w:tcPr>
          <w:p w:rsidR="00371F42" w:rsidRPr="000B0271" w:rsidRDefault="000B0271" w:rsidP="00B8440B">
            <w:pPr>
              <w:pStyle w:val="ListParagraph"/>
              <w:spacing w:before="120"/>
              <w:ind w:left="0"/>
              <w:contextualSpacing w:val="0"/>
              <w:jc w:val="both"/>
            </w:pPr>
            <w:r>
              <w:t>No, same situation</w:t>
            </w:r>
          </w:p>
        </w:tc>
      </w:tr>
      <w:tr w:rsidR="00371F42" w:rsidTr="001F7728">
        <w:tc>
          <w:tcPr>
            <w:tcW w:w="1055" w:type="dxa"/>
          </w:tcPr>
          <w:p w:rsidR="00371F42" w:rsidRDefault="00371F42" w:rsidP="00B8440B">
            <w:pPr>
              <w:pStyle w:val="ListParagraph"/>
              <w:spacing w:before="120"/>
              <w:ind w:left="0"/>
              <w:contextualSpacing w:val="0"/>
              <w:jc w:val="both"/>
              <w:rPr>
                <w:b/>
              </w:rPr>
            </w:pPr>
            <w:r>
              <w:rPr>
                <w:b/>
              </w:rPr>
              <w:t>M5</w:t>
            </w:r>
          </w:p>
        </w:tc>
        <w:tc>
          <w:tcPr>
            <w:tcW w:w="2654" w:type="dxa"/>
          </w:tcPr>
          <w:p w:rsidR="00371F42" w:rsidRPr="000B0271" w:rsidRDefault="00371F42" w:rsidP="00B8440B">
            <w:pPr>
              <w:pStyle w:val="ListParagraph"/>
              <w:spacing w:before="120"/>
              <w:ind w:left="0"/>
              <w:contextualSpacing w:val="0"/>
              <w:jc w:val="both"/>
            </w:pPr>
          </w:p>
        </w:tc>
        <w:tc>
          <w:tcPr>
            <w:tcW w:w="5716" w:type="dxa"/>
          </w:tcPr>
          <w:p w:rsidR="00371F42" w:rsidRPr="000B0271" w:rsidRDefault="00746FB5" w:rsidP="00B8440B">
            <w:pPr>
              <w:pStyle w:val="ListParagraph"/>
              <w:spacing w:before="120"/>
              <w:ind w:left="0"/>
              <w:contextualSpacing w:val="0"/>
              <w:jc w:val="both"/>
            </w:pPr>
            <w:r>
              <w:t>Additional procurement of 1.3m USD procurement (order in Dec 15, payment in 2016)</w:t>
            </w:r>
          </w:p>
        </w:tc>
      </w:tr>
    </w:tbl>
    <w:p w:rsidR="007475C0" w:rsidRPr="007475C0" w:rsidRDefault="007475C0" w:rsidP="007475C0">
      <w:pPr>
        <w:spacing w:before="360" w:after="120"/>
        <w:jc w:val="both"/>
        <w:rPr>
          <w:b/>
        </w:rPr>
      </w:pPr>
    </w:p>
    <w:p w:rsidR="007475C0" w:rsidRDefault="007475C0">
      <w:pPr>
        <w:rPr>
          <w:b/>
        </w:rPr>
      </w:pPr>
      <w:r>
        <w:rPr>
          <w:b/>
        </w:rPr>
        <w:br w:type="page"/>
      </w:r>
    </w:p>
    <w:p w:rsidR="00F13BBA" w:rsidRPr="00F13BBA" w:rsidRDefault="00F13BBA" w:rsidP="007475C0">
      <w:pPr>
        <w:pStyle w:val="ListParagraph"/>
        <w:numPr>
          <w:ilvl w:val="0"/>
          <w:numId w:val="13"/>
        </w:numPr>
        <w:spacing w:before="360" w:after="120"/>
        <w:contextualSpacing w:val="0"/>
        <w:jc w:val="both"/>
        <w:rPr>
          <w:b/>
        </w:rPr>
      </w:pPr>
      <w:r w:rsidRPr="00F13BBA">
        <w:rPr>
          <w:b/>
        </w:rPr>
        <w:lastRenderedPageBreak/>
        <w:t>Programmatic Indicators:</w:t>
      </w:r>
    </w:p>
    <w:tbl>
      <w:tblPr>
        <w:tblStyle w:val="TableGrid"/>
        <w:tblW w:w="0" w:type="auto"/>
        <w:tblInd w:w="357" w:type="dxa"/>
        <w:tblLook w:val="04A0" w:firstRow="1" w:lastRow="0" w:firstColumn="1" w:lastColumn="0" w:noHBand="0" w:noVBand="1"/>
      </w:tblPr>
      <w:tblGrid>
        <w:gridCol w:w="1056"/>
        <w:gridCol w:w="2656"/>
        <w:gridCol w:w="5713"/>
      </w:tblGrid>
      <w:tr w:rsidR="008657B7" w:rsidTr="008657B7">
        <w:tc>
          <w:tcPr>
            <w:tcW w:w="1056" w:type="dxa"/>
          </w:tcPr>
          <w:p w:rsidR="008657B7" w:rsidRDefault="008657B7" w:rsidP="00B8440B">
            <w:pPr>
              <w:pStyle w:val="ListParagraph"/>
              <w:spacing w:before="120"/>
              <w:ind w:left="0"/>
              <w:contextualSpacing w:val="0"/>
              <w:jc w:val="both"/>
              <w:rPr>
                <w:b/>
              </w:rPr>
            </w:pPr>
            <w:r>
              <w:rPr>
                <w:b/>
              </w:rPr>
              <w:t>Indicator</w:t>
            </w:r>
          </w:p>
        </w:tc>
        <w:tc>
          <w:tcPr>
            <w:tcW w:w="2656" w:type="dxa"/>
          </w:tcPr>
          <w:p w:rsidR="008657B7" w:rsidRDefault="008657B7" w:rsidP="00B8440B">
            <w:pPr>
              <w:pStyle w:val="ListParagraph"/>
              <w:spacing w:before="120"/>
              <w:ind w:left="0"/>
              <w:contextualSpacing w:val="0"/>
              <w:jc w:val="both"/>
              <w:rPr>
                <w:b/>
              </w:rPr>
            </w:pPr>
            <w:r>
              <w:rPr>
                <w:b/>
              </w:rPr>
              <w:t xml:space="preserve">Observation  </w:t>
            </w:r>
          </w:p>
        </w:tc>
        <w:tc>
          <w:tcPr>
            <w:tcW w:w="5713" w:type="dxa"/>
          </w:tcPr>
          <w:p w:rsidR="008657B7" w:rsidRDefault="008657B7" w:rsidP="00B8440B">
            <w:pPr>
              <w:pStyle w:val="ListParagraph"/>
              <w:spacing w:before="120"/>
              <w:ind w:left="0"/>
              <w:contextualSpacing w:val="0"/>
              <w:jc w:val="both"/>
              <w:rPr>
                <w:b/>
              </w:rPr>
            </w:pPr>
            <w:r>
              <w:rPr>
                <w:b/>
              </w:rPr>
              <w:t xml:space="preserve">Answer / Decision </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Pr1</w:t>
            </w:r>
          </w:p>
        </w:tc>
        <w:tc>
          <w:tcPr>
            <w:tcW w:w="2656" w:type="dxa"/>
          </w:tcPr>
          <w:p w:rsidR="008657B7" w:rsidRPr="00BE3566" w:rsidRDefault="00DE019D" w:rsidP="00BE3566">
            <w:pPr>
              <w:pStyle w:val="ListParagraph"/>
              <w:spacing w:before="120"/>
              <w:ind w:left="0"/>
              <w:contextualSpacing w:val="0"/>
            </w:pPr>
            <w:r w:rsidRPr="00BE3566">
              <w:t xml:space="preserve">80% of the total population achieved, </w:t>
            </w:r>
            <w:r w:rsidR="00BE3566">
              <w:t>= 89% but 93% coverage in terms of structures sprayed</w:t>
            </w:r>
          </w:p>
        </w:tc>
        <w:tc>
          <w:tcPr>
            <w:tcW w:w="5713" w:type="dxa"/>
          </w:tcPr>
          <w:p w:rsidR="008657B7" w:rsidRPr="00DE019D" w:rsidRDefault="00DE019D" w:rsidP="00DE019D">
            <w:pPr>
              <w:pStyle w:val="ListParagraph"/>
              <w:spacing w:before="120"/>
              <w:ind w:left="0"/>
              <w:contextualSpacing w:val="0"/>
            </w:pPr>
            <w:r w:rsidRPr="00DE019D">
              <w:t>Based on census projection. Definition of household: based on census info on number of people per household</w:t>
            </w:r>
            <w:r>
              <w:t xml:space="preserve">. </w:t>
            </w:r>
            <w:r w:rsidR="00BE3566">
              <w:t xml:space="preserve">Number of people protected = number of people living in the house at the moment of spraying. Other household members may have moved elsewhere for farming or else – are not counted as people protected. </w:t>
            </w:r>
            <w:r w:rsidR="00B87E89">
              <w:t>Additionally: denominator based on census + growth rate, which is not accurate</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Pr2</w:t>
            </w:r>
          </w:p>
        </w:tc>
        <w:tc>
          <w:tcPr>
            <w:tcW w:w="2656" w:type="dxa"/>
          </w:tcPr>
          <w:p w:rsidR="008657B7" w:rsidRPr="00E43534" w:rsidRDefault="00CD6530" w:rsidP="00DE019D">
            <w:pPr>
              <w:pStyle w:val="ListParagraph"/>
              <w:spacing w:before="120"/>
              <w:ind w:left="0"/>
              <w:contextualSpacing w:val="0"/>
            </w:pPr>
            <w:r>
              <w:t>Shouldn’t this be the same % as in Pr1?</w:t>
            </w:r>
          </w:p>
        </w:tc>
        <w:tc>
          <w:tcPr>
            <w:tcW w:w="5713" w:type="dxa"/>
          </w:tcPr>
          <w:p w:rsidR="008657B7" w:rsidRPr="00E43534" w:rsidRDefault="00E43534" w:rsidP="00DE019D">
            <w:pPr>
              <w:pStyle w:val="ListParagraph"/>
              <w:spacing w:before="120"/>
              <w:ind w:left="0"/>
              <w:contextualSpacing w:val="0"/>
            </w:pPr>
            <w:r>
              <w:t>Denominator “</w:t>
            </w:r>
            <w:r w:rsidRPr="00E43534">
              <w:t>Household</w:t>
            </w:r>
            <w:r>
              <w:t xml:space="preserve">” based on Census and average household size. Different % compared to Pr1 due to different average household sizes in different regions  </w:t>
            </w:r>
          </w:p>
        </w:tc>
      </w:tr>
    </w:tbl>
    <w:p w:rsidR="00CD2A14" w:rsidRDefault="008260F3" w:rsidP="00671CBC">
      <w:pPr>
        <w:pStyle w:val="ListParagraph"/>
        <w:numPr>
          <w:ilvl w:val="0"/>
          <w:numId w:val="5"/>
        </w:numPr>
        <w:spacing w:before="360" w:after="120"/>
        <w:ind w:left="357" w:hanging="357"/>
        <w:contextualSpacing w:val="0"/>
        <w:jc w:val="both"/>
        <w:rPr>
          <w:b/>
        </w:rPr>
      </w:pPr>
      <w:r>
        <w:rPr>
          <w:b/>
        </w:rPr>
        <w:t xml:space="preserve">Recommendations </w:t>
      </w:r>
    </w:p>
    <w:p w:rsidR="001B2662" w:rsidRDefault="006A6F0E" w:rsidP="001B2662">
      <w:pPr>
        <w:pStyle w:val="ListParagraph"/>
        <w:numPr>
          <w:ilvl w:val="0"/>
          <w:numId w:val="12"/>
        </w:numPr>
        <w:spacing w:before="240" w:after="0"/>
        <w:contextualSpacing w:val="0"/>
        <w:jc w:val="both"/>
      </w:pPr>
      <w:r w:rsidRPr="006A6F0E">
        <w:t>AGA Mal will insert budget per period until the end of the grant cycle, so we would know what is left</w:t>
      </w:r>
      <w:r w:rsidR="00C80A9E">
        <w:t xml:space="preserve">. </w:t>
      </w:r>
    </w:p>
    <w:p w:rsidR="006C2204" w:rsidRDefault="00C80A9E" w:rsidP="006C2204">
      <w:pPr>
        <w:pStyle w:val="ListParagraph"/>
        <w:numPr>
          <w:ilvl w:val="0"/>
          <w:numId w:val="12"/>
        </w:numPr>
        <w:spacing w:after="0"/>
        <w:contextualSpacing w:val="0"/>
        <w:jc w:val="both"/>
      </w:pPr>
      <w:r>
        <w:t xml:space="preserve">Cumulative obligations should not be carried over to future periods. Obligations become zero once they become </w:t>
      </w:r>
      <w:r w:rsidR="00746FB5">
        <w:t>an expenditure</w:t>
      </w:r>
      <w:r w:rsidR="00D210C0">
        <w:t xml:space="preserve">. </w:t>
      </w:r>
    </w:p>
    <w:p w:rsidR="008260F3" w:rsidRDefault="006C2204" w:rsidP="006C2204">
      <w:pPr>
        <w:pStyle w:val="ListParagraph"/>
        <w:numPr>
          <w:ilvl w:val="0"/>
          <w:numId w:val="12"/>
        </w:numPr>
        <w:contextualSpacing w:val="0"/>
        <w:jc w:val="both"/>
      </w:pPr>
      <w:r>
        <w:t>Consider estimating t</w:t>
      </w:r>
      <w:r w:rsidR="00D210C0">
        <w:t>he population coverage based on number of people usually living in the household.</w:t>
      </w:r>
      <w:r w:rsidR="00C72DA2">
        <w:t xml:space="preserve"> </w:t>
      </w:r>
      <w:r>
        <w:t xml:space="preserve">This would allow data comparison with PMI.  </w:t>
      </w:r>
    </w:p>
    <w:p w:rsidR="00C72DA2" w:rsidRPr="006A6F0E" w:rsidRDefault="00C72DA2" w:rsidP="008260F3">
      <w:pPr>
        <w:pStyle w:val="ListParagraph"/>
        <w:spacing w:before="240"/>
        <w:ind w:left="357"/>
        <w:contextualSpacing w:val="0"/>
        <w:jc w:val="both"/>
      </w:pPr>
    </w:p>
    <w:p w:rsidR="008260F3" w:rsidRPr="008260F3" w:rsidRDefault="00962157" w:rsidP="008260F3">
      <w:pPr>
        <w:pStyle w:val="ListParagraph"/>
        <w:numPr>
          <w:ilvl w:val="0"/>
          <w:numId w:val="1"/>
        </w:numPr>
        <w:spacing w:before="240"/>
        <w:ind w:left="357" w:hanging="357"/>
        <w:contextualSpacing w:val="0"/>
        <w:jc w:val="both"/>
        <w:rPr>
          <w:b/>
          <w:sz w:val="24"/>
          <w:szCs w:val="24"/>
        </w:rPr>
      </w:pPr>
      <w:r>
        <w:rPr>
          <w:b/>
          <w:sz w:val="24"/>
          <w:szCs w:val="24"/>
        </w:rPr>
        <w:t>NMCP Dash Board</w:t>
      </w:r>
    </w:p>
    <w:p w:rsidR="00F13BBA" w:rsidRPr="00962157" w:rsidRDefault="00F13BBA" w:rsidP="00671CBC">
      <w:pPr>
        <w:pStyle w:val="ListParagraph"/>
        <w:numPr>
          <w:ilvl w:val="0"/>
          <w:numId w:val="6"/>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5"/>
        <w:gridCol w:w="2655"/>
        <w:gridCol w:w="5715"/>
      </w:tblGrid>
      <w:tr w:rsidR="00671CBC" w:rsidTr="00C83B0B">
        <w:tc>
          <w:tcPr>
            <w:tcW w:w="1055" w:type="dxa"/>
          </w:tcPr>
          <w:p w:rsidR="00671CBC" w:rsidRDefault="00671CBC" w:rsidP="00B8440B">
            <w:pPr>
              <w:pStyle w:val="ListParagraph"/>
              <w:spacing w:before="120"/>
              <w:ind w:left="0"/>
              <w:contextualSpacing w:val="0"/>
              <w:jc w:val="both"/>
              <w:rPr>
                <w:b/>
              </w:rPr>
            </w:pPr>
            <w:r>
              <w:rPr>
                <w:b/>
              </w:rPr>
              <w:t>Indicator</w:t>
            </w:r>
          </w:p>
        </w:tc>
        <w:tc>
          <w:tcPr>
            <w:tcW w:w="2655" w:type="dxa"/>
          </w:tcPr>
          <w:p w:rsidR="00671CBC" w:rsidRDefault="00671CBC" w:rsidP="00B8440B">
            <w:pPr>
              <w:pStyle w:val="ListParagraph"/>
              <w:spacing w:before="120"/>
              <w:ind w:left="0"/>
              <w:contextualSpacing w:val="0"/>
              <w:jc w:val="both"/>
              <w:rPr>
                <w:b/>
              </w:rPr>
            </w:pPr>
            <w:r>
              <w:rPr>
                <w:b/>
              </w:rPr>
              <w:t xml:space="preserve">Observation </w:t>
            </w:r>
          </w:p>
        </w:tc>
        <w:tc>
          <w:tcPr>
            <w:tcW w:w="5715" w:type="dxa"/>
          </w:tcPr>
          <w:p w:rsidR="00671CBC" w:rsidRDefault="00671CBC" w:rsidP="00B8440B">
            <w:pPr>
              <w:pStyle w:val="ListParagraph"/>
              <w:spacing w:before="120"/>
              <w:ind w:left="0"/>
              <w:contextualSpacing w:val="0"/>
              <w:jc w:val="both"/>
              <w:rPr>
                <w:b/>
              </w:rPr>
            </w:pPr>
            <w:r>
              <w:rPr>
                <w:b/>
              </w:rPr>
              <w:t xml:space="preserve">Answer / Decision </w:t>
            </w:r>
          </w:p>
        </w:tc>
      </w:tr>
      <w:tr w:rsidR="00671CBC" w:rsidTr="00C83B0B">
        <w:tc>
          <w:tcPr>
            <w:tcW w:w="1055" w:type="dxa"/>
          </w:tcPr>
          <w:p w:rsidR="00671CBC" w:rsidRDefault="00CF7338" w:rsidP="00B8440B">
            <w:pPr>
              <w:pStyle w:val="ListParagraph"/>
              <w:spacing w:before="120"/>
              <w:ind w:left="0"/>
              <w:contextualSpacing w:val="0"/>
              <w:jc w:val="both"/>
              <w:rPr>
                <w:b/>
              </w:rPr>
            </w:pPr>
            <w:r>
              <w:rPr>
                <w:b/>
              </w:rPr>
              <w:t>F1</w:t>
            </w:r>
          </w:p>
        </w:tc>
        <w:tc>
          <w:tcPr>
            <w:tcW w:w="2655" w:type="dxa"/>
          </w:tcPr>
          <w:p w:rsidR="00671CBC" w:rsidRPr="006A6F0E" w:rsidRDefault="00671CBC" w:rsidP="006A6F0E">
            <w:pPr>
              <w:pStyle w:val="ListParagraph"/>
              <w:spacing w:before="120"/>
              <w:ind w:left="0"/>
              <w:contextualSpacing w:val="0"/>
            </w:pPr>
          </w:p>
        </w:tc>
        <w:tc>
          <w:tcPr>
            <w:tcW w:w="5715" w:type="dxa"/>
          </w:tcPr>
          <w:p w:rsidR="00671CBC" w:rsidRPr="006A6F0E" w:rsidRDefault="00671CBC" w:rsidP="006A6F0E">
            <w:pPr>
              <w:pStyle w:val="ListParagraph"/>
              <w:spacing w:before="120"/>
              <w:ind w:left="0"/>
              <w:contextualSpacing w:val="0"/>
            </w:pPr>
          </w:p>
        </w:tc>
      </w:tr>
      <w:tr w:rsidR="00CF7338" w:rsidTr="00C83B0B">
        <w:tc>
          <w:tcPr>
            <w:tcW w:w="1055" w:type="dxa"/>
          </w:tcPr>
          <w:p w:rsidR="00CF7338" w:rsidRDefault="00CF7338" w:rsidP="00B8440B">
            <w:pPr>
              <w:pStyle w:val="ListParagraph"/>
              <w:spacing w:before="120"/>
              <w:ind w:left="0"/>
              <w:contextualSpacing w:val="0"/>
              <w:jc w:val="both"/>
              <w:rPr>
                <w:b/>
              </w:rPr>
            </w:pPr>
            <w:r>
              <w:rPr>
                <w:b/>
              </w:rPr>
              <w:t>F2</w:t>
            </w:r>
          </w:p>
        </w:tc>
        <w:tc>
          <w:tcPr>
            <w:tcW w:w="2655" w:type="dxa"/>
          </w:tcPr>
          <w:p w:rsidR="00B00D5E" w:rsidRPr="006A6F0E" w:rsidRDefault="00B00D5E" w:rsidP="006A6F0E">
            <w:pPr>
              <w:pStyle w:val="ListParagraph"/>
              <w:spacing w:before="120"/>
              <w:ind w:left="0"/>
              <w:contextualSpacing w:val="0"/>
            </w:pPr>
            <w:r>
              <w:t>Low expenditures</w:t>
            </w:r>
          </w:p>
        </w:tc>
        <w:tc>
          <w:tcPr>
            <w:tcW w:w="5715" w:type="dxa"/>
          </w:tcPr>
          <w:p w:rsidR="00CF7338" w:rsidRPr="006A6F0E" w:rsidRDefault="00C72DA2" w:rsidP="00F43CD4">
            <w:pPr>
              <w:pStyle w:val="ListParagraph"/>
              <w:spacing w:before="120"/>
              <w:ind w:left="0"/>
              <w:contextualSpacing w:val="0"/>
            </w:pPr>
            <w:r>
              <w:t>Disbursement</w:t>
            </w:r>
            <w:r w:rsidR="00CF7338">
              <w:t xml:space="preserve"> arrived in End of June</w:t>
            </w:r>
            <w:r w:rsidR="00F43CD4">
              <w:t>. No cash balances from previous grant. No money = no expenditures</w:t>
            </w:r>
            <w:r w:rsidR="00B00D5E">
              <w:t xml:space="preserve">. Biggest budget for LLIN </w:t>
            </w:r>
            <w:r w:rsidR="0022499C">
              <w:t xml:space="preserve">mass and continuous </w:t>
            </w:r>
            <w:r w:rsidR="00B00D5E">
              <w:t xml:space="preserve">distribution, will arrive in August only. Amount budgeted is likely to be spent in full in P3-P4. </w:t>
            </w:r>
            <w:r w:rsidR="00F43CD4">
              <w:t xml:space="preserve"> </w:t>
            </w:r>
          </w:p>
        </w:tc>
      </w:tr>
    </w:tbl>
    <w:p w:rsidR="007475C0" w:rsidRPr="007475C0" w:rsidRDefault="007475C0" w:rsidP="007475C0">
      <w:pPr>
        <w:spacing w:before="360" w:after="120"/>
        <w:jc w:val="both"/>
        <w:rPr>
          <w:b/>
        </w:rPr>
      </w:pPr>
    </w:p>
    <w:p w:rsidR="007475C0" w:rsidRDefault="007475C0">
      <w:pPr>
        <w:rPr>
          <w:b/>
        </w:rPr>
      </w:pPr>
      <w:r>
        <w:rPr>
          <w:b/>
        </w:rPr>
        <w:br w:type="page"/>
      </w:r>
    </w:p>
    <w:p w:rsidR="008B313D" w:rsidRPr="007D6E1C" w:rsidRDefault="008B313D" w:rsidP="007475C0">
      <w:pPr>
        <w:pStyle w:val="ListParagraph"/>
        <w:numPr>
          <w:ilvl w:val="0"/>
          <w:numId w:val="14"/>
        </w:numPr>
        <w:spacing w:before="360" w:after="120"/>
        <w:jc w:val="both"/>
        <w:rPr>
          <w:b/>
        </w:rPr>
      </w:pPr>
      <w:r w:rsidRPr="007D6E1C">
        <w:rPr>
          <w:b/>
        </w:rPr>
        <w:lastRenderedPageBreak/>
        <w:t>Management Indicators:</w:t>
      </w:r>
    </w:p>
    <w:tbl>
      <w:tblPr>
        <w:tblStyle w:val="TableGrid"/>
        <w:tblW w:w="0" w:type="auto"/>
        <w:tblInd w:w="357" w:type="dxa"/>
        <w:tblLook w:val="04A0" w:firstRow="1" w:lastRow="0" w:firstColumn="1" w:lastColumn="0" w:noHBand="0" w:noVBand="1"/>
      </w:tblPr>
      <w:tblGrid>
        <w:gridCol w:w="1056"/>
        <w:gridCol w:w="2654"/>
        <w:gridCol w:w="5715"/>
      </w:tblGrid>
      <w:tr w:rsidR="000D4D29" w:rsidTr="00C83B0B">
        <w:tc>
          <w:tcPr>
            <w:tcW w:w="1056" w:type="dxa"/>
          </w:tcPr>
          <w:p w:rsidR="00371F42" w:rsidRDefault="00371F42" w:rsidP="00B8440B">
            <w:pPr>
              <w:pStyle w:val="ListParagraph"/>
              <w:spacing w:before="120"/>
              <w:ind w:left="0"/>
              <w:contextualSpacing w:val="0"/>
              <w:jc w:val="both"/>
              <w:rPr>
                <w:b/>
              </w:rPr>
            </w:pPr>
            <w:r>
              <w:rPr>
                <w:b/>
              </w:rPr>
              <w:t>Indicator</w:t>
            </w:r>
          </w:p>
        </w:tc>
        <w:tc>
          <w:tcPr>
            <w:tcW w:w="2654" w:type="dxa"/>
          </w:tcPr>
          <w:p w:rsidR="00371F42" w:rsidRDefault="00371F42" w:rsidP="00B8440B">
            <w:pPr>
              <w:pStyle w:val="ListParagraph"/>
              <w:spacing w:before="120"/>
              <w:ind w:left="0"/>
              <w:contextualSpacing w:val="0"/>
              <w:jc w:val="both"/>
              <w:rPr>
                <w:b/>
              </w:rPr>
            </w:pPr>
            <w:r>
              <w:rPr>
                <w:b/>
              </w:rPr>
              <w:t xml:space="preserve">Observation  </w:t>
            </w:r>
          </w:p>
        </w:tc>
        <w:tc>
          <w:tcPr>
            <w:tcW w:w="5715" w:type="dxa"/>
          </w:tcPr>
          <w:p w:rsidR="00371F42" w:rsidRDefault="00371F42" w:rsidP="00B8440B">
            <w:pPr>
              <w:pStyle w:val="ListParagraph"/>
              <w:spacing w:before="120"/>
              <w:ind w:left="0"/>
              <w:contextualSpacing w:val="0"/>
              <w:jc w:val="both"/>
              <w:rPr>
                <w:b/>
              </w:rPr>
            </w:pPr>
            <w:r>
              <w:rPr>
                <w:b/>
              </w:rPr>
              <w:t xml:space="preserve">Answer / Decision </w:t>
            </w:r>
          </w:p>
        </w:tc>
      </w:tr>
      <w:tr w:rsidR="000D4D29" w:rsidTr="00C83B0B">
        <w:tc>
          <w:tcPr>
            <w:tcW w:w="1056" w:type="dxa"/>
          </w:tcPr>
          <w:p w:rsidR="00371F42" w:rsidRDefault="00371F42" w:rsidP="00B8440B">
            <w:pPr>
              <w:pStyle w:val="ListParagraph"/>
              <w:spacing w:before="120"/>
              <w:ind w:left="0"/>
              <w:contextualSpacing w:val="0"/>
              <w:jc w:val="both"/>
              <w:rPr>
                <w:b/>
              </w:rPr>
            </w:pPr>
            <w:r>
              <w:rPr>
                <w:b/>
              </w:rPr>
              <w:t>M1</w:t>
            </w:r>
          </w:p>
        </w:tc>
        <w:tc>
          <w:tcPr>
            <w:tcW w:w="2654" w:type="dxa"/>
          </w:tcPr>
          <w:p w:rsidR="00371F42" w:rsidRPr="006A6F0E" w:rsidRDefault="00B00D5E" w:rsidP="006A6F0E">
            <w:pPr>
              <w:pStyle w:val="ListParagraph"/>
              <w:spacing w:before="120"/>
              <w:ind w:left="0"/>
              <w:contextualSpacing w:val="0"/>
            </w:pPr>
            <w:r>
              <w:t>2 CPs not fulfilled but within deadlines</w:t>
            </w:r>
          </w:p>
        </w:tc>
        <w:tc>
          <w:tcPr>
            <w:tcW w:w="5715" w:type="dxa"/>
          </w:tcPr>
          <w:p w:rsidR="00371F42" w:rsidRPr="006A6F0E" w:rsidRDefault="00B00D5E" w:rsidP="003233BE">
            <w:pPr>
              <w:pStyle w:val="ListParagraph"/>
              <w:spacing w:before="120"/>
              <w:ind w:left="0"/>
              <w:contextualSpacing w:val="0"/>
            </w:pPr>
            <w:r>
              <w:t xml:space="preserve">= </w:t>
            </w:r>
            <w:r w:rsidR="003233BE">
              <w:t>detailed supply chain plan incl. budget</w:t>
            </w:r>
            <w:r w:rsidR="00490112">
              <w:t xml:space="preserve"> – was submitted, GF feedback came, NMCP needs to implement feedback</w:t>
            </w:r>
            <w:r w:rsidR="003233BE">
              <w:t xml:space="preserve">. 15% counterpart financing of </w:t>
            </w:r>
            <w:proofErr w:type="spellStart"/>
            <w:r w:rsidR="003233BE">
              <w:t>GoG</w:t>
            </w:r>
            <w:proofErr w:type="spellEnd"/>
            <w:r w:rsidR="003233BE">
              <w:t xml:space="preserve"> by 2016</w:t>
            </w:r>
          </w:p>
        </w:tc>
      </w:tr>
      <w:tr w:rsidR="000D4D29" w:rsidTr="00C83B0B">
        <w:tc>
          <w:tcPr>
            <w:tcW w:w="1056" w:type="dxa"/>
          </w:tcPr>
          <w:p w:rsidR="00371F42" w:rsidRDefault="00371F42" w:rsidP="00B8440B">
            <w:pPr>
              <w:pStyle w:val="ListParagraph"/>
              <w:spacing w:before="120"/>
              <w:ind w:left="0"/>
              <w:contextualSpacing w:val="0"/>
              <w:jc w:val="both"/>
              <w:rPr>
                <w:b/>
              </w:rPr>
            </w:pPr>
            <w:r>
              <w:rPr>
                <w:b/>
              </w:rPr>
              <w:t>M2</w:t>
            </w:r>
          </w:p>
        </w:tc>
        <w:tc>
          <w:tcPr>
            <w:tcW w:w="2654" w:type="dxa"/>
          </w:tcPr>
          <w:p w:rsidR="00371F42" w:rsidRPr="006A6F0E" w:rsidRDefault="00102127" w:rsidP="006A6F0E">
            <w:pPr>
              <w:pStyle w:val="ListParagraph"/>
              <w:spacing w:before="120"/>
              <w:ind w:left="0"/>
              <w:contextualSpacing w:val="0"/>
            </w:pPr>
            <w:r>
              <w:t>6 vacant management positions</w:t>
            </w:r>
          </w:p>
        </w:tc>
        <w:tc>
          <w:tcPr>
            <w:tcW w:w="5715" w:type="dxa"/>
          </w:tcPr>
          <w:p w:rsidR="00371F42" w:rsidRPr="006A6F0E" w:rsidRDefault="00102127" w:rsidP="006A6F0E">
            <w:pPr>
              <w:pStyle w:val="ListParagraph"/>
              <w:spacing w:before="120"/>
              <w:ind w:left="0"/>
              <w:contextualSpacing w:val="0"/>
            </w:pPr>
            <w:r>
              <w:t xml:space="preserve">3 data managers, recruitment started. </w:t>
            </w:r>
          </w:p>
        </w:tc>
      </w:tr>
      <w:tr w:rsidR="000D4D29" w:rsidTr="00C83B0B">
        <w:tc>
          <w:tcPr>
            <w:tcW w:w="1056" w:type="dxa"/>
          </w:tcPr>
          <w:p w:rsidR="00371F42" w:rsidRDefault="00371F42" w:rsidP="00B8440B">
            <w:pPr>
              <w:pStyle w:val="ListParagraph"/>
              <w:spacing w:before="120"/>
              <w:ind w:left="0"/>
              <w:contextualSpacing w:val="0"/>
              <w:jc w:val="both"/>
              <w:rPr>
                <w:b/>
              </w:rPr>
            </w:pPr>
            <w:r>
              <w:rPr>
                <w:b/>
              </w:rPr>
              <w:t>M3</w:t>
            </w:r>
          </w:p>
        </w:tc>
        <w:tc>
          <w:tcPr>
            <w:tcW w:w="2654" w:type="dxa"/>
          </w:tcPr>
          <w:p w:rsidR="00371F42" w:rsidRPr="006A6F0E" w:rsidRDefault="00102127" w:rsidP="006A6F0E">
            <w:pPr>
              <w:pStyle w:val="ListParagraph"/>
              <w:spacing w:before="120"/>
              <w:ind w:left="0"/>
              <w:contextualSpacing w:val="0"/>
            </w:pPr>
            <w:r>
              <w:t>Status quo?</w:t>
            </w:r>
          </w:p>
        </w:tc>
        <w:tc>
          <w:tcPr>
            <w:tcW w:w="5715" w:type="dxa"/>
          </w:tcPr>
          <w:p w:rsidR="00371F42" w:rsidRPr="006A6F0E" w:rsidRDefault="000D4D29" w:rsidP="006A6F0E">
            <w:pPr>
              <w:pStyle w:val="ListParagraph"/>
              <w:spacing w:before="120"/>
              <w:ind w:left="0"/>
              <w:contextualSpacing w:val="0"/>
            </w:pPr>
            <w:r>
              <w:t xml:space="preserve">Evaluation finalized, report outstanding. </w:t>
            </w:r>
            <w:r w:rsidR="00582B17">
              <w:t>Engagement of 50 NGOs planned for P3</w:t>
            </w:r>
          </w:p>
        </w:tc>
      </w:tr>
      <w:tr w:rsidR="000D4D29" w:rsidTr="00C83B0B">
        <w:tc>
          <w:tcPr>
            <w:tcW w:w="1056" w:type="dxa"/>
          </w:tcPr>
          <w:p w:rsidR="00371F42" w:rsidRDefault="00371F42" w:rsidP="00B8440B">
            <w:pPr>
              <w:pStyle w:val="ListParagraph"/>
              <w:spacing w:before="120"/>
              <w:ind w:left="0"/>
              <w:contextualSpacing w:val="0"/>
              <w:jc w:val="both"/>
              <w:rPr>
                <w:b/>
              </w:rPr>
            </w:pPr>
            <w:r>
              <w:rPr>
                <w:b/>
              </w:rPr>
              <w:t>M5</w:t>
            </w:r>
          </w:p>
        </w:tc>
        <w:tc>
          <w:tcPr>
            <w:tcW w:w="2654" w:type="dxa"/>
          </w:tcPr>
          <w:p w:rsidR="00371F42" w:rsidRPr="006A6F0E" w:rsidRDefault="00B26456" w:rsidP="006A6F0E">
            <w:pPr>
              <w:pStyle w:val="ListParagraph"/>
              <w:spacing w:before="120"/>
              <w:ind w:left="0"/>
              <w:contextualSpacing w:val="0"/>
            </w:pPr>
            <w:r>
              <w:t>Stock report Laud Baddoo:</w:t>
            </w:r>
          </w:p>
        </w:tc>
        <w:tc>
          <w:tcPr>
            <w:tcW w:w="5715" w:type="dxa"/>
          </w:tcPr>
          <w:p w:rsidR="00371F42" w:rsidRDefault="00F43CD4" w:rsidP="006A6F0E">
            <w:pPr>
              <w:pStyle w:val="ListParagraph"/>
              <w:spacing w:before="120"/>
              <w:ind w:left="0"/>
              <w:contextualSpacing w:val="0"/>
            </w:pPr>
            <w:r w:rsidRPr="00F43CD4">
              <w:t>Nets coming in End Aug. for mass and continuous distribution</w:t>
            </w:r>
            <w:r w:rsidR="006C3270">
              <w:t xml:space="preserve">. </w:t>
            </w:r>
          </w:p>
          <w:p w:rsidR="005A4869" w:rsidRDefault="005A4869" w:rsidP="006A6F0E">
            <w:pPr>
              <w:pStyle w:val="ListParagraph"/>
              <w:spacing w:before="120"/>
              <w:ind w:left="0"/>
              <w:contextualSpacing w:val="0"/>
            </w:pPr>
            <w:r>
              <w:t>Low stock of RDTs</w:t>
            </w:r>
            <w:r w:rsidR="00671C0E">
              <w:t xml:space="preserve"> in the regions</w:t>
            </w:r>
            <w:r>
              <w:t>: 1.45 months</w:t>
            </w:r>
            <w:r w:rsidR="00671C0E">
              <w:t xml:space="preserve"> (below the minimum, Laud / JSI looks at possibilities of redistribution),</w:t>
            </w:r>
            <w:r w:rsidR="0022499C">
              <w:t xml:space="preserve"> and</w:t>
            </w:r>
            <w:r w:rsidR="00671C0E">
              <w:t xml:space="preserve"> additional 1.5 months at central level</w:t>
            </w:r>
            <w:r>
              <w:t xml:space="preserve">, </w:t>
            </w:r>
            <w:r w:rsidR="002128A3">
              <w:t xml:space="preserve">would last until </w:t>
            </w:r>
            <w:r w:rsidR="00671C0E">
              <w:t>end of Oct. 1.1 m coming in Sept. + 3.7 m coming in Nov. &gt;&gt; if everything works out, safe until March</w:t>
            </w:r>
          </w:p>
          <w:p w:rsidR="005A4869" w:rsidRDefault="005A4869" w:rsidP="006A6F0E">
            <w:pPr>
              <w:pStyle w:val="ListParagraph"/>
              <w:spacing w:before="120"/>
              <w:ind w:left="0"/>
              <w:contextualSpacing w:val="0"/>
            </w:pPr>
            <w:r>
              <w:t>Consumption in stock report based on distribution</w:t>
            </w:r>
            <w:r w:rsidR="00466664">
              <w:t xml:space="preserve">. </w:t>
            </w:r>
          </w:p>
          <w:p w:rsidR="00E40905" w:rsidRDefault="00E40905" w:rsidP="006A6F0E">
            <w:pPr>
              <w:pStyle w:val="ListParagraph"/>
              <w:spacing w:before="120"/>
              <w:ind w:left="0"/>
              <w:contextualSpacing w:val="0"/>
            </w:pPr>
            <w:r>
              <w:t>ACTs adequately stocked / procured</w:t>
            </w:r>
            <w:r w:rsidR="00466664">
              <w:t xml:space="preserve">. </w:t>
            </w:r>
            <w:r>
              <w:t xml:space="preserve">Challenge: suppositories: registration issues, </w:t>
            </w:r>
            <w:r w:rsidR="00466664">
              <w:t xml:space="preserve">now </w:t>
            </w:r>
            <w:r>
              <w:t>solved</w:t>
            </w:r>
          </w:p>
          <w:p w:rsidR="00E40905" w:rsidRPr="006A6F0E" w:rsidRDefault="00E40905" w:rsidP="001A48A6">
            <w:pPr>
              <w:pStyle w:val="ListParagraph"/>
              <w:spacing w:before="120"/>
              <w:ind w:left="0"/>
              <w:contextualSpacing w:val="0"/>
            </w:pPr>
            <w:r>
              <w:t xml:space="preserve">SPs national stock out in one month. Minister has signed approval. </w:t>
            </w:r>
            <w:r w:rsidR="001A48A6">
              <w:t>Tender needs to be advertised.</w:t>
            </w:r>
            <w:r>
              <w:t xml:space="preserve"> </w:t>
            </w:r>
          </w:p>
        </w:tc>
      </w:tr>
    </w:tbl>
    <w:p w:rsidR="006123B1" w:rsidRPr="007D6E1C" w:rsidRDefault="006123B1" w:rsidP="00671CBC">
      <w:pPr>
        <w:pStyle w:val="ListParagraph"/>
        <w:numPr>
          <w:ilvl w:val="0"/>
          <w:numId w:val="6"/>
        </w:numPr>
        <w:spacing w:before="360" w:after="120"/>
        <w:ind w:left="357" w:hanging="357"/>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056"/>
        <w:gridCol w:w="2656"/>
        <w:gridCol w:w="5713"/>
      </w:tblGrid>
      <w:tr w:rsidR="008657B7" w:rsidTr="008657B7">
        <w:tc>
          <w:tcPr>
            <w:tcW w:w="1056" w:type="dxa"/>
          </w:tcPr>
          <w:p w:rsidR="008657B7" w:rsidRDefault="008657B7" w:rsidP="00B8440B">
            <w:pPr>
              <w:pStyle w:val="ListParagraph"/>
              <w:spacing w:before="120"/>
              <w:ind w:left="0"/>
              <w:contextualSpacing w:val="0"/>
              <w:jc w:val="both"/>
              <w:rPr>
                <w:b/>
              </w:rPr>
            </w:pPr>
            <w:r>
              <w:rPr>
                <w:b/>
              </w:rPr>
              <w:t>Indicator</w:t>
            </w:r>
          </w:p>
        </w:tc>
        <w:tc>
          <w:tcPr>
            <w:tcW w:w="2656" w:type="dxa"/>
          </w:tcPr>
          <w:p w:rsidR="008657B7" w:rsidRDefault="008657B7" w:rsidP="00B8440B">
            <w:pPr>
              <w:pStyle w:val="ListParagraph"/>
              <w:spacing w:before="120"/>
              <w:ind w:left="0"/>
              <w:contextualSpacing w:val="0"/>
              <w:jc w:val="both"/>
              <w:rPr>
                <w:b/>
              </w:rPr>
            </w:pPr>
            <w:r>
              <w:rPr>
                <w:b/>
              </w:rPr>
              <w:t xml:space="preserve">Observation  </w:t>
            </w:r>
          </w:p>
        </w:tc>
        <w:tc>
          <w:tcPr>
            <w:tcW w:w="5713" w:type="dxa"/>
          </w:tcPr>
          <w:p w:rsidR="008657B7" w:rsidRDefault="008657B7" w:rsidP="00B8440B">
            <w:pPr>
              <w:pStyle w:val="ListParagraph"/>
              <w:spacing w:before="120"/>
              <w:ind w:left="0"/>
              <w:contextualSpacing w:val="0"/>
              <w:jc w:val="both"/>
              <w:rPr>
                <w:b/>
              </w:rPr>
            </w:pPr>
            <w:r>
              <w:rPr>
                <w:b/>
              </w:rPr>
              <w:t xml:space="preserve">Answer / Decision </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Pr1</w:t>
            </w:r>
          </w:p>
        </w:tc>
        <w:tc>
          <w:tcPr>
            <w:tcW w:w="2656" w:type="dxa"/>
          </w:tcPr>
          <w:p w:rsidR="008657B7" w:rsidRPr="006A6F0E" w:rsidRDefault="0074680C" w:rsidP="006A6F0E">
            <w:pPr>
              <w:pStyle w:val="ListParagraph"/>
              <w:spacing w:before="120"/>
              <w:ind w:left="0"/>
              <w:contextualSpacing w:val="0"/>
            </w:pPr>
            <w:r>
              <w:t>Lower achievement than P1</w:t>
            </w:r>
          </w:p>
        </w:tc>
        <w:tc>
          <w:tcPr>
            <w:tcW w:w="5713" w:type="dxa"/>
          </w:tcPr>
          <w:p w:rsidR="00466664" w:rsidRDefault="00466664" w:rsidP="0074680C">
            <w:pPr>
              <w:pStyle w:val="ListParagraph"/>
              <w:spacing w:before="120"/>
              <w:ind w:left="0"/>
              <w:contextualSpacing w:val="0"/>
            </w:pPr>
            <w:r>
              <w:t xml:space="preserve">Long discussion on what this indicator means. NMCP explains that the denominator is </w:t>
            </w:r>
            <w:proofErr w:type="spellStart"/>
            <w:r w:rsidR="006B02B6">
              <w:t>parasit</w:t>
            </w:r>
            <w:r>
              <w:t>ologically</w:t>
            </w:r>
            <w:proofErr w:type="spellEnd"/>
            <w:r>
              <w:t xml:space="preserve"> confirmed cases plus presumed cases (after diagnosis but without a </w:t>
            </w:r>
            <w:r w:rsidR="006B02B6">
              <w:t>parasit</w:t>
            </w:r>
            <w:r>
              <w:t xml:space="preserve">ological test). The OC finds the indicator ambiguous since a drop could </w:t>
            </w:r>
            <w:r w:rsidR="00C83B0B">
              <w:t xml:space="preserve">either </w:t>
            </w:r>
            <w:r>
              <w:t>mean that ACTs were not available or that ACT oversubscription was reduced due to proper diagnostics.</w:t>
            </w:r>
            <w:r w:rsidR="0000780F">
              <w:t xml:space="preserve"> Background information is crucial to understand the meaning of these data. </w:t>
            </w:r>
            <w:r>
              <w:t xml:space="preserve"> </w:t>
            </w:r>
          </w:p>
          <w:p w:rsidR="008657B7" w:rsidRPr="006A6F0E" w:rsidRDefault="00466664" w:rsidP="0074680C">
            <w:pPr>
              <w:pStyle w:val="ListParagraph"/>
              <w:spacing w:before="120"/>
              <w:ind w:left="0"/>
              <w:contextualSpacing w:val="0"/>
            </w:pPr>
            <w:r>
              <w:t xml:space="preserve">NMCP reply: </w:t>
            </w:r>
            <w:r w:rsidR="000D4D29">
              <w:t xml:space="preserve">Due to reduction of wastage / oversubscription based on </w:t>
            </w:r>
            <w:r w:rsidR="0074680C">
              <w:t>treatment without lab diagnosis/RDT. More RDT/smear test</w:t>
            </w:r>
            <w:r w:rsidR="00C83B0B">
              <w:t>s</w:t>
            </w:r>
            <w:r w:rsidR="0074680C">
              <w:t xml:space="preserve">, less </w:t>
            </w:r>
            <w:r w:rsidR="004E7E46">
              <w:t>un</w:t>
            </w:r>
            <w:r w:rsidR="0074680C">
              <w:t>confirmed cases</w:t>
            </w:r>
            <w:r w:rsidR="00C83B0B">
              <w:t xml:space="preserve"> treated</w:t>
            </w:r>
            <w:r>
              <w:t xml:space="preserve">. </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Pr5</w:t>
            </w:r>
          </w:p>
        </w:tc>
        <w:tc>
          <w:tcPr>
            <w:tcW w:w="2656" w:type="dxa"/>
          </w:tcPr>
          <w:p w:rsidR="008657B7" w:rsidRPr="006A6F0E" w:rsidRDefault="001F655C" w:rsidP="006A6F0E">
            <w:pPr>
              <w:pStyle w:val="ListParagraph"/>
              <w:spacing w:before="120"/>
              <w:ind w:left="0"/>
              <w:contextualSpacing w:val="0"/>
            </w:pPr>
            <w:r>
              <w:t>Down from 91%</w:t>
            </w:r>
          </w:p>
        </w:tc>
        <w:tc>
          <w:tcPr>
            <w:tcW w:w="5713" w:type="dxa"/>
          </w:tcPr>
          <w:p w:rsidR="008657B7" w:rsidRPr="006A6F0E" w:rsidRDefault="001F655C" w:rsidP="006A6F0E">
            <w:pPr>
              <w:pStyle w:val="ListParagraph"/>
              <w:spacing w:before="120"/>
              <w:ind w:left="0"/>
              <w:contextualSpacing w:val="0"/>
            </w:pPr>
            <w:r>
              <w:t>Data validation has taken place. Current data are likely to be more accurate</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Pr7</w:t>
            </w:r>
          </w:p>
        </w:tc>
        <w:tc>
          <w:tcPr>
            <w:tcW w:w="2656" w:type="dxa"/>
          </w:tcPr>
          <w:p w:rsidR="008657B7" w:rsidRPr="006A6F0E" w:rsidRDefault="00BD4900" w:rsidP="006A6F0E">
            <w:pPr>
              <w:pStyle w:val="ListParagraph"/>
              <w:spacing w:before="120"/>
              <w:ind w:left="0"/>
              <w:contextualSpacing w:val="0"/>
            </w:pPr>
            <w:r>
              <w:t>56% achievement</w:t>
            </w:r>
          </w:p>
        </w:tc>
        <w:tc>
          <w:tcPr>
            <w:tcW w:w="5713" w:type="dxa"/>
          </w:tcPr>
          <w:p w:rsidR="008657B7" w:rsidRDefault="00BD4900" w:rsidP="006A6F0E">
            <w:pPr>
              <w:pStyle w:val="ListParagraph"/>
              <w:spacing w:before="120"/>
              <w:ind w:left="0"/>
              <w:contextualSpacing w:val="0"/>
            </w:pPr>
            <w:r>
              <w:t>Supply chain issues include that local CHO</w:t>
            </w:r>
            <w:r w:rsidR="00015262">
              <w:t xml:space="preserve">s only get their supplies from RMS when several items are needed. Do not have the funds in order to pick individual products. Thus </w:t>
            </w:r>
            <w:r w:rsidR="001A48A6">
              <w:t>risk</w:t>
            </w:r>
            <w:bookmarkStart w:id="0" w:name="_GoBack"/>
            <w:bookmarkEnd w:id="0"/>
            <w:r w:rsidR="00015262">
              <w:t xml:space="preserve"> </w:t>
            </w:r>
            <w:proofErr w:type="spellStart"/>
            <w:r w:rsidR="00015262">
              <w:t>stockouts</w:t>
            </w:r>
            <w:proofErr w:type="spellEnd"/>
            <w:r w:rsidR="00015262">
              <w:t xml:space="preserve"> of s</w:t>
            </w:r>
            <w:r w:rsidR="001A48A6">
              <w:t>everal</w:t>
            </w:r>
            <w:r w:rsidR="00015262">
              <w:t xml:space="preserve"> products before they go to RMS. Additionally low capacities on PSM at local/district level. </w:t>
            </w:r>
          </w:p>
          <w:p w:rsidR="00015262" w:rsidRPr="006A6F0E" w:rsidRDefault="00015262" w:rsidP="006B02B6">
            <w:pPr>
              <w:pStyle w:val="ListParagraph"/>
              <w:spacing w:before="120"/>
              <w:ind w:left="0"/>
              <w:contextualSpacing w:val="0"/>
            </w:pPr>
            <w:r w:rsidRPr="00015262">
              <w:lastRenderedPageBreak/>
              <w:t xml:space="preserve">NMCP </w:t>
            </w:r>
            <w:r>
              <w:t>r</w:t>
            </w:r>
            <w:r w:rsidRPr="00015262">
              <w:t xml:space="preserve">equest that regional USAID logistics </w:t>
            </w:r>
            <w:r w:rsidR="006B02B6">
              <w:t>offic</w:t>
            </w:r>
            <w:r w:rsidRPr="00015262">
              <w:t>ers go down to districts to assist them in coming up with an a</w:t>
            </w:r>
            <w:r>
              <w:t>ccur</w:t>
            </w:r>
            <w:r w:rsidRPr="00015262">
              <w:t>ate procurement plan</w:t>
            </w:r>
            <w:r>
              <w:t xml:space="preserve"> and to strengthen their PSM capacities</w:t>
            </w:r>
            <w:r w:rsidRPr="00015262">
              <w:t>. Do not have the authority to push medication to district facilities</w:t>
            </w:r>
            <w:r>
              <w:t xml:space="preserve"> to ensure that they have what they need. </w:t>
            </w:r>
          </w:p>
        </w:tc>
      </w:tr>
    </w:tbl>
    <w:p w:rsidR="008260F3" w:rsidRDefault="001A48A6" w:rsidP="00671CBC">
      <w:pPr>
        <w:pStyle w:val="ListParagraph"/>
        <w:numPr>
          <w:ilvl w:val="0"/>
          <w:numId w:val="6"/>
        </w:numPr>
        <w:spacing w:before="360" w:after="120"/>
        <w:ind w:left="357" w:hanging="357"/>
        <w:jc w:val="both"/>
        <w:rPr>
          <w:b/>
        </w:rPr>
      </w:pPr>
      <w:r>
        <w:rPr>
          <w:b/>
        </w:rPr>
        <w:lastRenderedPageBreak/>
        <w:t xml:space="preserve">Recommendations: </w:t>
      </w:r>
      <w:r w:rsidRPr="001A48A6">
        <w:t>Follow up on RDT and SP procurement</w:t>
      </w:r>
    </w:p>
    <w:p w:rsidR="008260F3" w:rsidRDefault="008260F3" w:rsidP="008260F3">
      <w:pPr>
        <w:pStyle w:val="ListParagraph"/>
        <w:ind w:left="360"/>
        <w:jc w:val="both"/>
        <w:rPr>
          <w:b/>
        </w:rPr>
      </w:pPr>
    </w:p>
    <w:p w:rsidR="007D6E1C" w:rsidRPr="00962157" w:rsidRDefault="00962157" w:rsidP="00962157">
      <w:pPr>
        <w:pStyle w:val="ListParagraph"/>
        <w:numPr>
          <w:ilvl w:val="0"/>
          <w:numId w:val="1"/>
        </w:numPr>
        <w:spacing w:before="240"/>
        <w:ind w:left="357" w:hanging="357"/>
        <w:contextualSpacing w:val="0"/>
        <w:jc w:val="both"/>
        <w:rPr>
          <w:b/>
          <w:sz w:val="24"/>
          <w:szCs w:val="24"/>
        </w:rPr>
      </w:pPr>
      <w:r>
        <w:rPr>
          <w:b/>
          <w:sz w:val="24"/>
          <w:szCs w:val="24"/>
        </w:rPr>
        <w:t>Closing</w:t>
      </w:r>
    </w:p>
    <w:p w:rsidR="007D00A0" w:rsidRDefault="007D6E1C" w:rsidP="007D6E1C">
      <w:pPr>
        <w:jc w:val="both"/>
      </w:pPr>
      <w:r>
        <w:t xml:space="preserve">The meeting came to a close at about </w:t>
      </w:r>
      <w:r w:rsidR="00B9418C">
        <w:t>4pm.</w:t>
      </w:r>
    </w:p>
    <w:sectPr w:rsidR="007D00A0" w:rsidSect="007D6E1C">
      <w:headerReference w:type="even" r:id="rId8"/>
      <w:headerReference w:type="default" r:id="rId9"/>
      <w:footerReference w:type="even" r:id="rId10"/>
      <w:footerReference w:type="default" r:id="rId11"/>
      <w:headerReference w:type="first" r:id="rId12"/>
      <w:footerReference w:type="first" r:id="rId13"/>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8A9" w:rsidRDefault="00E168A9" w:rsidP="00C72108">
      <w:pPr>
        <w:spacing w:after="0" w:line="240" w:lineRule="auto"/>
      </w:pPr>
      <w:r>
        <w:separator/>
      </w:r>
    </w:p>
  </w:endnote>
  <w:endnote w:type="continuationSeparator" w:id="0">
    <w:p w:rsidR="00E168A9" w:rsidRDefault="00E168A9" w:rsidP="00C7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0035"/>
      <w:docPartObj>
        <w:docPartGallery w:val="Page Numbers (Bottom of Page)"/>
        <w:docPartUnique/>
      </w:docPartObj>
    </w:sdtPr>
    <w:sdtEndPr/>
    <w:sdtContent>
      <w:p w:rsidR="00C72108" w:rsidRDefault="00C72108">
        <w:pPr>
          <w:pStyle w:val="Footer"/>
          <w:jc w:val="right"/>
        </w:pPr>
        <w:r>
          <w:t xml:space="preserve">Page | </w:t>
        </w:r>
        <w:r>
          <w:fldChar w:fldCharType="begin"/>
        </w:r>
        <w:r>
          <w:instrText xml:space="preserve"> PAGE   \* MERGEFORMAT </w:instrText>
        </w:r>
        <w:r>
          <w:fldChar w:fldCharType="separate"/>
        </w:r>
        <w:r w:rsidR="001A48A6">
          <w:rPr>
            <w:noProof/>
          </w:rPr>
          <w:t>5</w:t>
        </w:r>
        <w:r>
          <w:rPr>
            <w:noProof/>
          </w:rPr>
          <w:fldChar w:fldCharType="end"/>
        </w:r>
        <w:r>
          <w:t xml:space="preserve"> </w:t>
        </w:r>
      </w:p>
    </w:sdtContent>
  </w:sdt>
  <w:p w:rsidR="00C72108" w:rsidRDefault="00C72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8A9" w:rsidRDefault="00E168A9" w:rsidP="00C72108">
      <w:pPr>
        <w:spacing w:after="0" w:line="240" w:lineRule="auto"/>
      </w:pPr>
      <w:r>
        <w:separator/>
      </w:r>
    </w:p>
  </w:footnote>
  <w:footnote w:type="continuationSeparator" w:id="0">
    <w:p w:rsidR="00E168A9" w:rsidRDefault="00E168A9" w:rsidP="00C7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43388"/>
    <w:multiLevelType w:val="hybridMultilevel"/>
    <w:tmpl w:val="534E28E8"/>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EE0637"/>
    <w:multiLevelType w:val="hybridMultilevel"/>
    <w:tmpl w:val="2556AA7A"/>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2" w15:restartNumberingAfterBreak="0">
    <w:nsid w:val="2958519C"/>
    <w:multiLevelType w:val="hybridMultilevel"/>
    <w:tmpl w:val="0570E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43127"/>
    <w:multiLevelType w:val="hybridMultilevel"/>
    <w:tmpl w:val="C1E4CF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613D87"/>
    <w:multiLevelType w:val="hybridMultilevel"/>
    <w:tmpl w:val="4F3AB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F6114"/>
    <w:multiLevelType w:val="hybridMultilevel"/>
    <w:tmpl w:val="F1C2421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760C1A"/>
    <w:multiLevelType w:val="hybridMultilevel"/>
    <w:tmpl w:val="CE565F1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04566C"/>
    <w:multiLevelType w:val="hybridMultilevel"/>
    <w:tmpl w:val="4998A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9"/>
  </w:num>
  <w:num w:numId="6">
    <w:abstractNumId w:val="7"/>
  </w:num>
  <w:num w:numId="7">
    <w:abstractNumId w:val="10"/>
  </w:num>
  <w:num w:numId="8">
    <w:abstractNumId w:val="10"/>
  </w:num>
  <w:num w:numId="9">
    <w:abstractNumId w:val="8"/>
  </w:num>
  <w:num w:numId="10">
    <w:abstractNumId w:val="0"/>
  </w:num>
  <w:num w:numId="11">
    <w:abstractNumId w:val="1"/>
  </w:num>
  <w:num w:numId="12">
    <w:abstractNumId w:val="6"/>
  </w:num>
  <w:num w:numId="13">
    <w:abstractNumId w:val="9"/>
    <w:lvlOverride w:ilvl="0">
      <w:lvl w:ilvl="0" w:tplc="04090017">
        <w:start w:val="1"/>
        <w:numFmt w:val="lowerLetter"/>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7"/>
    <w:lvlOverride w:ilvl="0">
      <w:lvl w:ilvl="0" w:tplc="04090017">
        <w:start w:val="1"/>
        <w:numFmt w:val="lowerLetter"/>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47"/>
    <w:rsid w:val="0000780F"/>
    <w:rsid w:val="00015262"/>
    <w:rsid w:val="000565BC"/>
    <w:rsid w:val="000828A4"/>
    <w:rsid w:val="00084F2F"/>
    <w:rsid w:val="000A7353"/>
    <w:rsid w:val="000B0271"/>
    <w:rsid w:val="000B2FD5"/>
    <w:rsid w:val="000C5D1F"/>
    <w:rsid w:val="000D4D29"/>
    <w:rsid w:val="00102127"/>
    <w:rsid w:val="00105A2F"/>
    <w:rsid w:val="001260C7"/>
    <w:rsid w:val="00144A9B"/>
    <w:rsid w:val="00154801"/>
    <w:rsid w:val="00174A85"/>
    <w:rsid w:val="001A48A6"/>
    <w:rsid w:val="001B2662"/>
    <w:rsid w:val="001F655C"/>
    <w:rsid w:val="001F7728"/>
    <w:rsid w:val="002128A3"/>
    <w:rsid w:val="0022499C"/>
    <w:rsid w:val="0022688F"/>
    <w:rsid w:val="002611FF"/>
    <w:rsid w:val="00286C3E"/>
    <w:rsid w:val="00290453"/>
    <w:rsid w:val="002A2E83"/>
    <w:rsid w:val="003233BE"/>
    <w:rsid w:val="003617E6"/>
    <w:rsid w:val="00371F42"/>
    <w:rsid w:val="003A6DF2"/>
    <w:rsid w:val="004568F4"/>
    <w:rsid w:val="00466664"/>
    <w:rsid w:val="00490112"/>
    <w:rsid w:val="004B75D5"/>
    <w:rsid w:val="004C0D6C"/>
    <w:rsid w:val="004E3FAA"/>
    <w:rsid w:val="004E7E46"/>
    <w:rsid w:val="005006CE"/>
    <w:rsid w:val="00500D63"/>
    <w:rsid w:val="00507401"/>
    <w:rsid w:val="00522414"/>
    <w:rsid w:val="00530434"/>
    <w:rsid w:val="00582B17"/>
    <w:rsid w:val="005A4869"/>
    <w:rsid w:val="005E3DFD"/>
    <w:rsid w:val="006055FD"/>
    <w:rsid w:val="006123B1"/>
    <w:rsid w:val="00627DBA"/>
    <w:rsid w:val="00641E91"/>
    <w:rsid w:val="00671C0E"/>
    <w:rsid w:val="00671CBC"/>
    <w:rsid w:val="00696B47"/>
    <w:rsid w:val="006A6F0E"/>
    <w:rsid w:val="006B02B6"/>
    <w:rsid w:val="006B2933"/>
    <w:rsid w:val="006C2204"/>
    <w:rsid w:val="006C3270"/>
    <w:rsid w:val="006F2E0A"/>
    <w:rsid w:val="006F3793"/>
    <w:rsid w:val="00732FD0"/>
    <w:rsid w:val="0074680C"/>
    <w:rsid w:val="00746FB5"/>
    <w:rsid w:val="007475C0"/>
    <w:rsid w:val="007A5A0B"/>
    <w:rsid w:val="007B772F"/>
    <w:rsid w:val="007D00A0"/>
    <w:rsid w:val="007D4EBB"/>
    <w:rsid w:val="007D6E1C"/>
    <w:rsid w:val="007F6544"/>
    <w:rsid w:val="00810A17"/>
    <w:rsid w:val="008260F3"/>
    <w:rsid w:val="008657B7"/>
    <w:rsid w:val="00877252"/>
    <w:rsid w:val="0088340B"/>
    <w:rsid w:val="008B313D"/>
    <w:rsid w:val="008C026B"/>
    <w:rsid w:val="008C1794"/>
    <w:rsid w:val="00901FAD"/>
    <w:rsid w:val="00934478"/>
    <w:rsid w:val="00962157"/>
    <w:rsid w:val="009B7316"/>
    <w:rsid w:val="009E3DAE"/>
    <w:rsid w:val="009F13F3"/>
    <w:rsid w:val="009F7571"/>
    <w:rsid w:val="00A0389B"/>
    <w:rsid w:val="00A119DA"/>
    <w:rsid w:val="00A57C56"/>
    <w:rsid w:val="00A90154"/>
    <w:rsid w:val="00B00D5E"/>
    <w:rsid w:val="00B26456"/>
    <w:rsid w:val="00B64878"/>
    <w:rsid w:val="00B66A64"/>
    <w:rsid w:val="00B87E89"/>
    <w:rsid w:val="00B9418C"/>
    <w:rsid w:val="00BB23E6"/>
    <w:rsid w:val="00BD4900"/>
    <w:rsid w:val="00BE3566"/>
    <w:rsid w:val="00BF25EA"/>
    <w:rsid w:val="00C34463"/>
    <w:rsid w:val="00C4333C"/>
    <w:rsid w:val="00C553C2"/>
    <w:rsid w:val="00C72108"/>
    <w:rsid w:val="00C72C08"/>
    <w:rsid w:val="00C72DA2"/>
    <w:rsid w:val="00C80A9E"/>
    <w:rsid w:val="00C83B0B"/>
    <w:rsid w:val="00CD2A14"/>
    <w:rsid w:val="00CD6530"/>
    <w:rsid w:val="00CF7338"/>
    <w:rsid w:val="00D023EF"/>
    <w:rsid w:val="00D03362"/>
    <w:rsid w:val="00D210C0"/>
    <w:rsid w:val="00D35AA7"/>
    <w:rsid w:val="00D46A4E"/>
    <w:rsid w:val="00D81A65"/>
    <w:rsid w:val="00DC54A4"/>
    <w:rsid w:val="00DE019D"/>
    <w:rsid w:val="00E168A9"/>
    <w:rsid w:val="00E40905"/>
    <w:rsid w:val="00E43534"/>
    <w:rsid w:val="00E5595B"/>
    <w:rsid w:val="00ED7532"/>
    <w:rsid w:val="00F13BBA"/>
    <w:rsid w:val="00F43CD4"/>
    <w:rsid w:val="00F621E2"/>
    <w:rsid w:val="00FD775E"/>
    <w:rsid w:val="00FE1D02"/>
    <w:rsid w:val="00FE3291"/>
    <w:rsid w:val="00F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C4AEF-2EBE-435E-BFDD-637E664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108"/>
  </w:style>
  <w:style w:type="paragraph" w:styleId="Footer">
    <w:name w:val="footer"/>
    <w:basedOn w:val="Normal"/>
    <w:link w:val="FooterChar"/>
    <w:uiPriority w:val="99"/>
    <w:unhideWhenUsed/>
    <w:rsid w:val="00C7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108"/>
  </w:style>
  <w:style w:type="paragraph" w:styleId="ListParagraph">
    <w:name w:val="List Paragraph"/>
    <w:basedOn w:val="Normal"/>
    <w:uiPriority w:val="34"/>
    <w:qFormat/>
    <w:rsid w:val="00962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86054">
      <w:bodyDiv w:val="1"/>
      <w:marLeft w:val="0"/>
      <w:marRight w:val="0"/>
      <w:marTop w:val="0"/>
      <w:marBottom w:val="0"/>
      <w:divBdr>
        <w:top w:val="none" w:sz="0" w:space="0" w:color="auto"/>
        <w:left w:val="none" w:sz="0" w:space="0" w:color="auto"/>
        <w:bottom w:val="none" w:sz="0" w:space="0" w:color="auto"/>
        <w:right w:val="none" w:sz="0" w:space="0" w:color="auto"/>
      </w:divBdr>
    </w:div>
    <w:div w:id="14349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4C6F-AD68-4B44-8B5F-E3959658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55</cp:revision>
  <dcterms:created xsi:type="dcterms:W3CDTF">2015-08-25T11:23:00Z</dcterms:created>
  <dcterms:modified xsi:type="dcterms:W3CDTF">2015-09-02T14:37:00Z</dcterms:modified>
</cp:coreProperties>
</file>