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91" w:rsidRPr="00641E91" w:rsidRDefault="00696B47" w:rsidP="00641E91">
      <w:pPr>
        <w:jc w:val="center"/>
        <w:rPr>
          <w:b/>
          <w:sz w:val="28"/>
          <w:szCs w:val="28"/>
        </w:rPr>
      </w:pPr>
      <w:r w:rsidRPr="00641E91">
        <w:rPr>
          <w:b/>
          <w:sz w:val="28"/>
          <w:szCs w:val="28"/>
        </w:rPr>
        <w:t>MINUTES OF MALARIA DASH BOARDS REVIEW MEETING</w:t>
      </w:r>
    </w:p>
    <w:p w:rsidR="00105A2F" w:rsidRPr="00641E91" w:rsidRDefault="00A66811" w:rsidP="00641E91">
      <w:pPr>
        <w:jc w:val="center"/>
        <w:rPr>
          <w:b/>
        </w:rPr>
      </w:pPr>
      <w:r>
        <w:rPr>
          <w:b/>
        </w:rPr>
        <w:t>26 February</w:t>
      </w:r>
      <w:r w:rsidR="00696B47" w:rsidRPr="00641E91">
        <w:rPr>
          <w:b/>
        </w:rPr>
        <w:t>, 201</w:t>
      </w:r>
      <w:r>
        <w:rPr>
          <w:b/>
        </w:rPr>
        <w:t>6</w:t>
      </w:r>
      <w:r w:rsidR="00696B47" w:rsidRPr="00641E91">
        <w:rPr>
          <w:b/>
        </w:rPr>
        <w:t xml:space="preserve"> </w:t>
      </w:r>
      <w:r w:rsidR="00641E91">
        <w:rPr>
          <w:b/>
        </w:rPr>
        <w:t xml:space="preserve">at the </w:t>
      </w:r>
      <w:r w:rsidR="00696B47" w:rsidRPr="00641E91">
        <w:rPr>
          <w:b/>
        </w:rPr>
        <w:t>CCM S</w:t>
      </w:r>
      <w:r w:rsidR="00641E91">
        <w:rPr>
          <w:b/>
        </w:rPr>
        <w:t>ecretariat</w:t>
      </w:r>
    </w:p>
    <w:p w:rsidR="00641E91" w:rsidRDefault="00641E91" w:rsidP="007D6E1C">
      <w:pPr>
        <w:jc w:val="both"/>
        <w:rPr>
          <w:b/>
        </w:rPr>
      </w:pPr>
    </w:p>
    <w:p w:rsidR="00696B47" w:rsidRPr="007D6E1C" w:rsidRDefault="00696B47" w:rsidP="007D6E1C">
      <w:pPr>
        <w:jc w:val="both"/>
        <w:rPr>
          <w:b/>
        </w:rPr>
      </w:pPr>
      <w:r w:rsidRPr="007D6E1C">
        <w:rPr>
          <w:b/>
        </w:rPr>
        <w:t>A</w:t>
      </w:r>
      <w:r w:rsidR="00962157">
        <w:rPr>
          <w:b/>
        </w:rPr>
        <w:t>ttendance</w:t>
      </w:r>
      <w:r w:rsidRPr="007D6E1C">
        <w:rPr>
          <w:b/>
        </w:rPr>
        <w:t>:</w:t>
      </w:r>
    </w:p>
    <w:tbl>
      <w:tblPr>
        <w:tblStyle w:val="TableGrid"/>
        <w:tblW w:w="0" w:type="auto"/>
        <w:tblLook w:val="04A0" w:firstRow="1" w:lastRow="0" w:firstColumn="1" w:lastColumn="0" w:noHBand="0" w:noVBand="1"/>
      </w:tblPr>
      <w:tblGrid>
        <w:gridCol w:w="828"/>
        <w:gridCol w:w="3703"/>
        <w:gridCol w:w="2651"/>
        <w:gridCol w:w="2394"/>
      </w:tblGrid>
      <w:tr w:rsidR="00696B47" w:rsidTr="00A66811">
        <w:tc>
          <w:tcPr>
            <w:tcW w:w="828" w:type="dxa"/>
          </w:tcPr>
          <w:p w:rsidR="00696B47" w:rsidRPr="007D6E1C" w:rsidRDefault="00696B47" w:rsidP="007D6E1C">
            <w:pPr>
              <w:jc w:val="both"/>
              <w:rPr>
                <w:b/>
              </w:rPr>
            </w:pPr>
            <w:r w:rsidRPr="007D6E1C">
              <w:rPr>
                <w:b/>
              </w:rPr>
              <w:t xml:space="preserve">No. </w:t>
            </w:r>
          </w:p>
        </w:tc>
        <w:tc>
          <w:tcPr>
            <w:tcW w:w="3703" w:type="dxa"/>
          </w:tcPr>
          <w:p w:rsidR="00696B47" w:rsidRPr="007D6E1C" w:rsidRDefault="00696B47" w:rsidP="007D6E1C">
            <w:pPr>
              <w:jc w:val="both"/>
              <w:rPr>
                <w:b/>
              </w:rPr>
            </w:pPr>
            <w:r w:rsidRPr="007D6E1C">
              <w:rPr>
                <w:b/>
              </w:rPr>
              <w:t>Name</w:t>
            </w:r>
          </w:p>
        </w:tc>
        <w:tc>
          <w:tcPr>
            <w:tcW w:w="2651" w:type="dxa"/>
          </w:tcPr>
          <w:p w:rsidR="00696B47" w:rsidRPr="007D6E1C" w:rsidRDefault="00696B47" w:rsidP="007D6E1C">
            <w:pPr>
              <w:jc w:val="both"/>
              <w:rPr>
                <w:b/>
              </w:rPr>
            </w:pPr>
            <w:r w:rsidRPr="007D6E1C">
              <w:rPr>
                <w:b/>
              </w:rPr>
              <w:t>Organization</w:t>
            </w:r>
          </w:p>
        </w:tc>
        <w:tc>
          <w:tcPr>
            <w:tcW w:w="2394" w:type="dxa"/>
          </w:tcPr>
          <w:p w:rsidR="00696B47" w:rsidRPr="007D6E1C" w:rsidRDefault="00696B47" w:rsidP="007D6E1C">
            <w:pPr>
              <w:jc w:val="both"/>
              <w:rPr>
                <w:b/>
              </w:rPr>
            </w:pPr>
            <w:r w:rsidRPr="007D6E1C">
              <w:rPr>
                <w:b/>
              </w:rPr>
              <w:t>Sector</w:t>
            </w:r>
          </w:p>
        </w:tc>
      </w:tr>
      <w:tr w:rsidR="00641E91" w:rsidRPr="00A66811" w:rsidTr="00A66811">
        <w:tc>
          <w:tcPr>
            <w:tcW w:w="828" w:type="dxa"/>
          </w:tcPr>
          <w:p w:rsidR="00641E91" w:rsidRPr="00A66811" w:rsidRDefault="00641E91" w:rsidP="00641E91">
            <w:pPr>
              <w:jc w:val="both"/>
            </w:pPr>
          </w:p>
        </w:tc>
        <w:tc>
          <w:tcPr>
            <w:tcW w:w="3703" w:type="dxa"/>
          </w:tcPr>
          <w:p w:rsidR="00641E91" w:rsidRPr="00A66811" w:rsidRDefault="00641E91" w:rsidP="00641E91">
            <w:pPr>
              <w:jc w:val="both"/>
            </w:pPr>
            <w:r w:rsidRPr="00A66811">
              <w:t>Annekatrin El Oumrany</w:t>
            </w:r>
          </w:p>
        </w:tc>
        <w:tc>
          <w:tcPr>
            <w:tcW w:w="2651" w:type="dxa"/>
          </w:tcPr>
          <w:p w:rsidR="00641E91" w:rsidRPr="00A66811" w:rsidRDefault="00641E91" w:rsidP="00641E91">
            <w:pPr>
              <w:jc w:val="both"/>
            </w:pPr>
            <w:r w:rsidRPr="00A66811">
              <w:t>CCM Secretariat</w:t>
            </w:r>
          </w:p>
        </w:tc>
        <w:tc>
          <w:tcPr>
            <w:tcW w:w="2394" w:type="dxa"/>
          </w:tcPr>
          <w:p w:rsidR="00641E91" w:rsidRPr="00A66811" w:rsidRDefault="00641E91" w:rsidP="00641E91">
            <w:pPr>
              <w:jc w:val="both"/>
            </w:pPr>
            <w:r w:rsidRPr="00A66811">
              <w:t>CCM</w:t>
            </w:r>
          </w:p>
        </w:tc>
      </w:tr>
      <w:tr w:rsidR="003617E6" w:rsidRPr="00A66811" w:rsidTr="00A66811">
        <w:tc>
          <w:tcPr>
            <w:tcW w:w="828" w:type="dxa"/>
          </w:tcPr>
          <w:p w:rsidR="003617E6" w:rsidRPr="00A66811" w:rsidRDefault="003617E6" w:rsidP="003617E6">
            <w:pPr>
              <w:jc w:val="both"/>
            </w:pPr>
          </w:p>
        </w:tc>
        <w:tc>
          <w:tcPr>
            <w:tcW w:w="3703" w:type="dxa"/>
          </w:tcPr>
          <w:p w:rsidR="003617E6" w:rsidRPr="00A66811" w:rsidRDefault="00136225" w:rsidP="003617E6">
            <w:pPr>
              <w:jc w:val="both"/>
            </w:pPr>
            <w:r w:rsidRPr="00A66811">
              <w:t>Stephen Appiah</w:t>
            </w:r>
          </w:p>
        </w:tc>
        <w:tc>
          <w:tcPr>
            <w:tcW w:w="2651" w:type="dxa"/>
          </w:tcPr>
          <w:p w:rsidR="003617E6" w:rsidRPr="00A66811" w:rsidRDefault="003617E6" w:rsidP="003617E6">
            <w:pPr>
              <w:jc w:val="both"/>
            </w:pPr>
            <w:r w:rsidRPr="00A66811">
              <w:t>NMCP</w:t>
            </w:r>
          </w:p>
        </w:tc>
        <w:tc>
          <w:tcPr>
            <w:tcW w:w="2394" w:type="dxa"/>
          </w:tcPr>
          <w:p w:rsidR="003617E6" w:rsidRPr="00A66811" w:rsidRDefault="003617E6" w:rsidP="003617E6">
            <w:pPr>
              <w:jc w:val="both"/>
            </w:pPr>
            <w:r w:rsidRPr="00A66811">
              <w:t>PR / Government</w:t>
            </w:r>
          </w:p>
        </w:tc>
      </w:tr>
      <w:tr w:rsidR="003617E6" w:rsidRPr="00A66811" w:rsidTr="00A66811">
        <w:tc>
          <w:tcPr>
            <w:tcW w:w="828" w:type="dxa"/>
            <w:tcBorders>
              <w:bottom w:val="single" w:sz="4" w:space="0" w:color="auto"/>
            </w:tcBorders>
          </w:tcPr>
          <w:p w:rsidR="003617E6" w:rsidRPr="00A66811" w:rsidRDefault="003617E6" w:rsidP="003617E6">
            <w:pPr>
              <w:jc w:val="both"/>
            </w:pPr>
          </w:p>
        </w:tc>
        <w:tc>
          <w:tcPr>
            <w:tcW w:w="3703" w:type="dxa"/>
            <w:tcBorders>
              <w:bottom w:val="single" w:sz="4" w:space="0" w:color="auto"/>
            </w:tcBorders>
          </w:tcPr>
          <w:p w:rsidR="003617E6" w:rsidRPr="00A66811" w:rsidRDefault="00136225" w:rsidP="003617E6">
            <w:pPr>
              <w:jc w:val="both"/>
            </w:pPr>
            <w:r w:rsidRPr="00A66811">
              <w:t>Kofi Osae</w:t>
            </w:r>
          </w:p>
        </w:tc>
        <w:tc>
          <w:tcPr>
            <w:tcW w:w="2651" w:type="dxa"/>
            <w:tcBorders>
              <w:bottom w:val="single" w:sz="4" w:space="0" w:color="auto"/>
            </w:tcBorders>
          </w:tcPr>
          <w:p w:rsidR="003617E6" w:rsidRPr="00A66811" w:rsidRDefault="003617E6" w:rsidP="003617E6">
            <w:pPr>
              <w:jc w:val="both"/>
            </w:pPr>
            <w:r w:rsidRPr="00A66811">
              <w:t>NMCP</w:t>
            </w:r>
          </w:p>
        </w:tc>
        <w:tc>
          <w:tcPr>
            <w:tcW w:w="2394" w:type="dxa"/>
            <w:tcBorders>
              <w:bottom w:val="single" w:sz="4" w:space="0" w:color="auto"/>
            </w:tcBorders>
          </w:tcPr>
          <w:p w:rsidR="003617E6" w:rsidRPr="00A66811" w:rsidRDefault="003617E6" w:rsidP="003617E6">
            <w:pPr>
              <w:jc w:val="both"/>
            </w:pPr>
            <w:r w:rsidRPr="00A66811">
              <w:t>PR / Government</w:t>
            </w:r>
          </w:p>
        </w:tc>
      </w:tr>
      <w:tr w:rsidR="003617E6" w:rsidRPr="00A66811" w:rsidTr="00A6681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Pr="00A66811" w:rsidRDefault="003617E6" w:rsidP="003617E6">
            <w:pPr>
              <w:jc w:val="both"/>
            </w:pPr>
          </w:p>
        </w:tc>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A66811" w:rsidRDefault="003617E6" w:rsidP="003617E6">
            <w:pPr>
              <w:jc w:val="both"/>
            </w:pPr>
            <w:r w:rsidRPr="00A66811">
              <w:t xml:space="preserve">Samuel </w:t>
            </w:r>
            <w:proofErr w:type="spellStart"/>
            <w:r w:rsidRPr="00A66811">
              <w:t>Dodoo</w:t>
            </w:r>
            <w:proofErr w:type="spellEnd"/>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A66811" w:rsidRDefault="003617E6" w:rsidP="003617E6">
            <w:pPr>
              <w:jc w:val="both"/>
            </w:pPr>
            <w:r w:rsidRPr="00A66811">
              <w:t>Media Response – Stop TB</w:t>
            </w:r>
          </w:p>
        </w:tc>
        <w:tc>
          <w:tcPr>
            <w:tcW w:w="2394" w:type="dxa"/>
            <w:tcBorders>
              <w:top w:val="single" w:sz="4" w:space="0" w:color="000000" w:themeColor="text1"/>
              <w:left w:val="single" w:sz="4" w:space="0" w:color="000000" w:themeColor="text1"/>
              <w:bottom w:val="single" w:sz="4" w:space="0" w:color="000000" w:themeColor="text1"/>
            </w:tcBorders>
          </w:tcPr>
          <w:p w:rsidR="003617E6" w:rsidRPr="00A66811" w:rsidRDefault="003617E6" w:rsidP="003617E6">
            <w:pPr>
              <w:jc w:val="both"/>
            </w:pPr>
            <w:r w:rsidRPr="00A66811">
              <w:t>OC / NGO</w:t>
            </w:r>
          </w:p>
        </w:tc>
      </w:tr>
      <w:tr w:rsidR="003617E6" w:rsidRPr="00A66811" w:rsidTr="00A6681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Pr="00A66811" w:rsidRDefault="003617E6" w:rsidP="003617E6">
            <w:pPr>
              <w:jc w:val="both"/>
            </w:pPr>
          </w:p>
        </w:tc>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A66811" w:rsidRDefault="003617E6" w:rsidP="003617E6">
            <w:pPr>
              <w:jc w:val="both"/>
            </w:pPr>
            <w:r w:rsidRPr="00A66811">
              <w:t>Laud Baddoo</w:t>
            </w:r>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A66811" w:rsidRDefault="003617E6" w:rsidP="003617E6">
            <w:pPr>
              <w:jc w:val="both"/>
            </w:pPr>
            <w:r w:rsidRPr="00A66811">
              <w:t>JSI Deliver</w:t>
            </w:r>
          </w:p>
        </w:tc>
        <w:tc>
          <w:tcPr>
            <w:tcW w:w="2394" w:type="dxa"/>
            <w:tcBorders>
              <w:top w:val="single" w:sz="4" w:space="0" w:color="000000" w:themeColor="text1"/>
              <w:left w:val="single" w:sz="4" w:space="0" w:color="000000" w:themeColor="text1"/>
              <w:bottom w:val="single" w:sz="4" w:space="0" w:color="000000" w:themeColor="text1"/>
            </w:tcBorders>
          </w:tcPr>
          <w:p w:rsidR="003617E6" w:rsidRPr="00A66811" w:rsidRDefault="003617E6" w:rsidP="003617E6">
            <w:pPr>
              <w:jc w:val="both"/>
            </w:pPr>
            <w:r w:rsidRPr="00A66811">
              <w:t>OC / Co-opted member</w:t>
            </w:r>
          </w:p>
        </w:tc>
      </w:tr>
      <w:tr w:rsidR="003617E6" w:rsidRPr="00A66811" w:rsidTr="00A6681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Pr="00A66811" w:rsidRDefault="003617E6" w:rsidP="003617E6">
            <w:pPr>
              <w:jc w:val="both"/>
            </w:pPr>
          </w:p>
        </w:tc>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A66811" w:rsidRDefault="003617E6" w:rsidP="003617E6">
            <w:pPr>
              <w:jc w:val="both"/>
            </w:pPr>
            <w:r w:rsidRPr="00A66811">
              <w:t>Jonathan Tetteh-Kwao</w:t>
            </w:r>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A66811" w:rsidRDefault="003617E6" w:rsidP="003617E6">
            <w:pPr>
              <w:jc w:val="both"/>
            </w:pPr>
            <w:r w:rsidRPr="00A66811">
              <w:t>NAP+</w:t>
            </w:r>
          </w:p>
        </w:tc>
        <w:tc>
          <w:tcPr>
            <w:tcW w:w="2394" w:type="dxa"/>
            <w:tcBorders>
              <w:top w:val="single" w:sz="4" w:space="0" w:color="000000" w:themeColor="text1"/>
              <w:left w:val="single" w:sz="4" w:space="0" w:color="000000" w:themeColor="text1"/>
              <w:bottom w:val="single" w:sz="4" w:space="0" w:color="000000" w:themeColor="text1"/>
            </w:tcBorders>
          </w:tcPr>
          <w:p w:rsidR="003617E6" w:rsidRPr="00A66811" w:rsidRDefault="003617E6" w:rsidP="003617E6">
            <w:pPr>
              <w:jc w:val="both"/>
            </w:pPr>
            <w:r w:rsidRPr="00A66811">
              <w:t>OC / PLWD</w:t>
            </w:r>
          </w:p>
        </w:tc>
      </w:tr>
      <w:tr w:rsidR="003617E6" w:rsidRPr="00A66811" w:rsidTr="00A6681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Pr="00A66811" w:rsidRDefault="003617E6" w:rsidP="003617E6">
            <w:pPr>
              <w:jc w:val="both"/>
            </w:pPr>
          </w:p>
        </w:tc>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A66811" w:rsidRDefault="003617E6" w:rsidP="003617E6">
            <w:r w:rsidRPr="00A66811">
              <w:t xml:space="preserve">Dr. Felicia </w:t>
            </w:r>
            <w:proofErr w:type="spellStart"/>
            <w:r w:rsidRPr="00A66811">
              <w:t>Owusu</w:t>
            </w:r>
            <w:proofErr w:type="spellEnd"/>
            <w:r w:rsidRPr="00A66811">
              <w:t>-Antwi</w:t>
            </w:r>
          </w:p>
        </w:tc>
        <w:tc>
          <w:tcPr>
            <w:tcW w:w="2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A66811" w:rsidRDefault="003617E6" w:rsidP="003617E6">
            <w:pPr>
              <w:jc w:val="both"/>
            </w:pPr>
            <w:r w:rsidRPr="00A66811">
              <w:t>WHO</w:t>
            </w:r>
          </w:p>
        </w:tc>
        <w:tc>
          <w:tcPr>
            <w:tcW w:w="2394" w:type="dxa"/>
            <w:tcBorders>
              <w:top w:val="single" w:sz="4" w:space="0" w:color="000000" w:themeColor="text1"/>
              <w:left w:val="single" w:sz="4" w:space="0" w:color="000000" w:themeColor="text1"/>
              <w:bottom w:val="single" w:sz="4" w:space="0" w:color="000000" w:themeColor="text1"/>
            </w:tcBorders>
          </w:tcPr>
          <w:p w:rsidR="003617E6" w:rsidRPr="00A66811" w:rsidRDefault="003617E6" w:rsidP="003617E6">
            <w:pPr>
              <w:jc w:val="both"/>
            </w:pPr>
            <w:r w:rsidRPr="00A66811">
              <w:t xml:space="preserve">OC / Multilateral </w:t>
            </w:r>
          </w:p>
        </w:tc>
      </w:tr>
    </w:tbl>
    <w:p w:rsidR="00696B47" w:rsidRDefault="00696B47" w:rsidP="007D6E1C">
      <w:pPr>
        <w:jc w:val="both"/>
      </w:pPr>
    </w:p>
    <w:p w:rsidR="00641E91" w:rsidRPr="00641E91" w:rsidRDefault="00641E91" w:rsidP="007D6E1C">
      <w:pPr>
        <w:jc w:val="both"/>
        <w:rPr>
          <w:b/>
        </w:rPr>
      </w:pPr>
      <w:r w:rsidRPr="00641E91">
        <w:rPr>
          <w:b/>
        </w:rPr>
        <w:t>A</w:t>
      </w:r>
      <w:r w:rsidR="00962157">
        <w:rPr>
          <w:b/>
        </w:rPr>
        <w:t>bsence</w:t>
      </w:r>
      <w:r w:rsidRPr="00641E91">
        <w:rPr>
          <w:b/>
        </w:rPr>
        <w:t>:</w:t>
      </w:r>
    </w:p>
    <w:tbl>
      <w:tblPr>
        <w:tblStyle w:val="TableGrid"/>
        <w:tblW w:w="0" w:type="auto"/>
        <w:tblLook w:val="04A0" w:firstRow="1" w:lastRow="0" w:firstColumn="1" w:lastColumn="0" w:noHBand="0" w:noVBand="1"/>
      </w:tblPr>
      <w:tblGrid>
        <w:gridCol w:w="562"/>
        <w:gridCol w:w="2410"/>
        <w:gridCol w:w="2693"/>
        <w:gridCol w:w="1985"/>
        <w:gridCol w:w="1985"/>
      </w:tblGrid>
      <w:tr w:rsidR="00641E91" w:rsidTr="009C6EC9">
        <w:tc>
          <w:tcPr>
            <w:tcW w:w="562" w:type="dxa"/>
          </w:tcPr>
          <w:p w:rsidR="00641E91" w:rsidRPr="007D6E1C" w:rsidRDefault="00641E91" w:rsidP="0008010A">
            <w:pPr>
              <w:jc w:val="both"/>
              <w:rPr>
                <w:b/>
              </w:rPr>
            </w:pPr>
            <w:r w:rsidRPr="007D6E1C">
              <w:rPr>
                <w:b/>
              </w:rPr>
              <w:t xml:space="preserve">No. </w:t>
            </w:r>
          </w:p>
        </w:tc>
        <w:tc>
          <w:tcPr>
            <w:tcW w:w="2410" w:type="dxa"/>
          </w:tcPr>
          <w:p w:rsidR="00641E91" w:rsidRPr="007D6E1C" w:rsidRDefault="00641E91" w:rsidP="00641E91">
            <w:pPr>
              <w:rPr>
                <w:b/>
              </w:rPr>
            </w:pPr>
            <w:r w:rsidRPr="007D6E1C">
              <w:rPr>
                <w:b/>
              </w:rPr>
              <w:t>Name</w:t>
            </w:r>
          </w:p>
        </w:tc>
        <w:tc>
          <w:tcPr>
            <w:tcW w:w="2693" w:type="dxa"/>
          </w:tcPr>
          <w:p w:rsidR="00641E91" w:rsidRPr="007D6E1C" w:rsidRDefault="00641E91" w:rsidP="0008010A">
            <w:pPr>
              <w:jc w:val="both"/>
              <w:rPr>
                <w:b/>
              </w:rPr>
            </w:pPr>
            <w:r w:rsidRPr="007D6E1C">
              <w:rPr>
                <w:b/>
              </w:rPr>
              <w:t>Organization</w:t>
            </w:r>
          </w:p>
        </w:tc>
        <w:tc>
          <w:tcPr>
            <w:tcW w:w="1985" w:type="dxa"/>
          </w:tcPr>
          <w:p w:rsidR="00641E91" w:rsidRPr="007D6E1C" w:rsidRDefault="00641E91" w:rsidP="0008010A">
            <w:pPr>
              <w:jc w:val="both"/>
              <w:rPr>
                <w:b/>
              </w:rPr>
            </w:pPr>
            <w:r w:rsidRPr="007D6E1C">
              <w:rPr>
                <w:b/>
              </w:rPr>
              <w:t>Sector</w:t>
            </w:r>
          </w:p>
        </w:tc>
        <w:tc>
          <w:tcPr>
            <w:tcW w:w="1985" w:type="dxa"/>
          </w:tcPr>
          <w:p w:rsidR="00641E91" w:rsidRPr="007D6E1C" w:rsidRDefault="00641E91" w:rsidP="0008010A">
            <w:pPr>
              <w:jc w:val="both"/>
              <w:rPr>
                <w:b/>
              </w:rPr>
            </w:pPr>
            <w:r>
              <w:rPr>
                <w:b/>
              </w:rPr>
              <w:t>Reason</w:t>
            </w:r>
          </w:p>
        </w:tc>
      </w:tr>
      <w:tr w:rsidR="00641E91" w:rsidRPr="00A66811" w:rsidTr="009C6EC9">
        <w:tc>
          <w:tcPr>
            <w:tcW w:w="562" w:type="dxa"/>
            <w:tcBorders>
              <w:left w:val="single" w:sz="4" w:space="0" w:color="000000" w:themeColor="text1"/>
              <w:bottom w:val="single" w:sz="4" w:space="0" w:color="000000" w:themeColor="text1"/>
              <w:right w:val="single" w:sz="4" w:space="0" w:color="000000" w:themeColor="text1"/>
            </w:tcBorders>
          </w:tcPr>
          <w:p w:rsidR="00641E91" w:rsidRPr="00A66811" w:rsidRDefault="00641E91" w:rsidP="0008010A">
            <w:pPr>
              <w:jc w:val="both"/>
            </w:pP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A66811" w:rsidRDefault="00641E91" w:rsidP="00641E91">
            <w:r w:rsidRPr="00A66811">
              <w:t>Daniel Osei</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A66811" w:rsidRDefault="00641E91" w:rsidP="0008010A">
            <w:pPr>
              <w:jc w:val="both"/>
            </w:pPr>
            <w:r w:rsidRPr="00A66811">
              <w:t>Ghana Health Services</w:t>
            </w:r>
          </w:p>
        </w:tc>
        <w:tc>
          <w:tcPr>
            <w:tcW w:w="1985" w:type="dxa"/>
            <w:tcBorders>
              <w:left w:val="single" w:sz="4" w:space="0" w:color="000000" w:themeColor="text1"/>
              <w:bottom w:val="single" w:sz="4" w:space="0" w:color="000000" w:themeColor="text1"/>
            </w:tcBorders>
          </w:tcPr>
          <w:p w:rsidR="00641E91" w:rsidRPr="00A66811" w:rsidRDefault="00641E91" w:rsidP="0008010A">
            <w:pPr>
              <w:jc w:val="both"/>
            </w:pPr>
            <w:r w:rsidRPr="00A66811">
              <w:t>Government</w:t>
            </w:r>
          </w:p>
        </w:tc>
        <w:tc>
          <w:tcPr>
            <w:tcW w:w="1985" w:type="dxa"/>
            <w:tcBorders>
              <w:left w:val="single" w:sz="4" w:space="0" w:color="000000" w:themeColor="text1"/>
              <w:bottom w:val="single" w:sz="4" w:space="0" w:color="000000" w:themeColor="text1"/>
            </w:tcBorders>
          </w:tcPr>
          <w:p w:rsidR="00641E91" w:rsidRPr="00A66811" w:rsidRDefault="00641E91" w:rsidP="0008010A">
            <w:pPr>
              <w:jc w:val="both"/>
            </w:pPr>
          </w:p>
        </w:tc>
      </w:tr>
      <w:tr w:rsidR="00641E91"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Default="00641E91" w:rsidP="0008010A">
            <w:pPr>
              <w:jc w:val="both"/>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641E91" w:rsidRDefault="00A66811" w:rsidP="00641E91">
            <w:r>
              <w:t>Margaret-Anne Wilson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641E91" w:rsidRDefault="00641E91" w:rsidP="0008010A">
            <w:pPr>
              <w:jc w:val="both"/>
            </w:pPr>
            <w:r w:rsidRPr="00641E91">
              <w:t>MOFEP</w:t>
            </w:r>
          </w:p>
        </w:tc>
        <w:tc>
          <w:tcPr>
            <w:tcW w:w="1985" w:type="dxa"/>
            <w:tcBorders>
              <w:top w:val="single" w:sz="4" w:space="0" w:color="000000" w:themeColor="text1"/>
              <w:left w:val="single" w:sz="4" w:space="0" w:color="000000" w:themeColor="text1"/>
              <w:bottom w:val="single" w:sz="4" w:space="0" w:color="000000" w:themeColor="text1"/>
            </w:tcBorders>
          </w:tcPr>
          <w:p w:rsidR="00641E91" w:rsidRDefault="00641E91" w:rsidP="0008010A">
            <w:pPr>
              <w:jc w:val="both"/>
            </w:pPr>
            <w:r>
              <w:t>Government</w:t>
            </w:r>
          </w:p>
        </w:tc>
        <w:tc>
          <w:tcPr>
            <w:tcW w:w="1985" w:type="dxa"/>
            <w:tcBorders>
              <w:top w:val="single" w:sz="4" w:space="0" w:color="000000" w:themeColor="text1"/>
              <w:left w:val="single" w:sz="4" w:space="0" w:color="000000" w:themeColor="text1"/>
              <w:bottom w:val="single" w:sz="4" w:space="0" w:color="000000" w:themeColor="text1"/>
            </w:tcBorders>
          </w:tcPr>
          <w:p w:rsidR="00641E91" w:rsidRDefault="00641E91" w:rsidP="0008010A">
            <w:pPr>
              <w:jc w:val="both"/>
            </w:pPr>
          </w:p>
        </w:tc>
      </w:tr>
      <w:tr w:rsidR="00641E91" w:rsidRPr="00A66811"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Pr="00A66811" w:rsidRDefault="00641E91" w:rsidP="0008010A">
            <w:pPr>
              <w:jc w:val="both"/>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A66811" w:rsidRDefault="00641E91" w:rsidP="00641E91">
            <w:r w:rsidRPr="00A66811">
              <w:t xml:space="preserve">Dr. Sebastian </w:t>
            </w:r>
            <w:proofErr w:type="spellStart"/>
            <w:r w:rsidRPr="00A66811">
              <w:t>Ngmenenso</w:t>
            </w:r>
            <w:proofErr w:type="spellEnd"/>
            <w:r w:rsidRPr="00A66811">
              <w:t xml:space="preserve"> </w:t>
            </w:r>
            <w:proofErr w:type="spellStart"/>
            <w:r w:rsidRPr="00A66811">
              <w:t>Sandaare</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A66811" w:rsidRDefault="00641E91" w:rsidP="0008010A">
            <w:pPr>
              <w:jc w:val="both"/>
            </w:pPr>
            <w:r w:rsidRPr="00A66811">
              <w:t>District Health Director</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A66811" w:rsidRDefault="00641E91" w:rsidP="0008010A">
            <w:pPr>
              <w:jc w:val="both"/>
            </w:pPr>
            <w:r w:rsidRPr="00A66811">
              <w:t>PLWD</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A66811" w:rsidRDefault="006F2E0A" w:rsidP="0008010A">
            <w:pPr>
              <w:jc w:val="both"/>
            </w:pPr>
            <w:r w:rsidRPr="00A66811">
              <w:t>Conflicting professional requirements</w:t>
            </w:r>
          </w:p>
        </w:tc>
      </w:tr>
      <w:tr w:rsidR="00641E91"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Default="00641E91" w:rsidP="0008010A">
            <w:pPr>
              <w:jc w:val="both"/>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641E91" w:rsidRDefault="00641E91" w:rsidP="00641E91">
            <w:r w:rsidRPr="00641E91">
              <w:t xml:space="preserve">Maurice </w:t>
            </w:r>
            <w:proofErr w:type="spellStart"/>
            <w:r w:rsidRPr="00641E91">
              <w:t>Ocquaye</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641E91" w:rsidRDefault="003617E6" w:rsidP="0008010A">
            <w:pPr>
              <w:jc w:val="both"/>
            </w:pPr>
            <w:r>
              <w:t>Consultant</w:t>
            </w:r>
          </w:p>
        </w:tc>
        <w:tc>
          <w:tcPr>
            <w:tcW w:w="1985" w:type="dxa"/>
            <w:tcBorders>
              <w:top w:val="single" w:sz="4" w:space="0" w:color="000000" w:themeColor="text1"/>
              <w:left w:val="single" w:sz="4" w:space="0" w:color="000000" w:themeColor="text1"/>
              <w:bottom w:val="single" w:sz="4" w:space="0" w:color="000000" w:themeColor="text1"/>
            </w:tcBorders>
          </w:tcPr>
          <w:p w:rsidR="00641E91" w:rsidRDefault="00641E91" w:rsidP="0008010A">
            <w:pPr>
              <w:jc w:val="both"/>
            </w:pPr>
            <w:r>
              <w:t>Co-opted member</w:t>
            </w:r>
          </w:p>
        </w:tc>
        <w:tc>
          <w:tcPr>
            <w:tcW w:w="1985" w:type="dxa"/>
            <w:tcBorders>
              <w:top w:val="single" w:sz="4" w:space="0" w:color="000000" w:themeColor="text1"/>
              <w:left w:val="single" w:sz="4" w:space="0" w:color="000000" w:themeColor="text1"/>
              <w:bottom w:val="single" w:sz="4" w:space="0" w:color="000000" w:themeColor="text1"/>
            </w:tcBorders>
          </w:tcPr>
          <w:p w:rsidR="00641E91" w:rsidRDefault="00641E91" w:rsidP="0008010A">
            <w:pPr>
              <w:jc w:val="both"/>
            </w:pPr>
          </w:p>
        </w:tc>
      </w:tr>
      <w:tr w:rsidR="00641E91" w:rsidTr="009C6EC9">
        <w:tc>
          <w:tcPr>
            <w:tcW w:w="562" w:type="dxa"/>
          </w:tcPr>
          <w:p w:rsidR="00641E91" w:rsidRDefault="00641E91" w:rsidP="0008010A">
            <w:pPr>
              <w:jc w:val="both"/>
            </w:pPr>
          </w:p>
        </w:tc>
        <w:tc>
          <w:tcPr>
            <w:tcW w:w="2410" w:type="dxa"/>
          </w:tcPr>
          <w:p w:rsidR="00641E91" w:rsidRDefault="00641E91" w:rsidP="00641E91">
            <w:r>
              <w:t>Dr. Philip Ricks</w:t>
            </w:r>
          </w:p>
        </w:tc>
        <w:tc>
          <w:tcPr>
            <w:tcW w:w="2693" w:type="dxa"/>
          </w:tcPr>
          <w:p w:rsidR="00641E91" w:rsidRDefault="00641E91" w:rsidP="0008010A">
            <w:pPr>
              <w:jc w:val="both"/>
            </w:pPr>
            <w:r>
              <w:t>USAID/CDC</w:t>
            </w:r>
          </w:p>
        </w:tc>
        <w:tc>
          <w:tcPr>
            <w:tcW w:w="1985" w:type="dxa"/>
          </w:tcPr>
          <w:p w:rsidR="00641E91" w:rsidRDefault="00641E91" w:rsidP="0008010A">
            <w:pPr>
              <w:jc w:val="both"/>
            </w:pPr>
            <w:r>
              <w:t>Bilateral</w:t>
            </w:r>
          </w:p>
        </w:tc>
        <w:tc>
          <w:tcPr>
            <w:tcW w:w="1985" w:type="dxa"/>
          </w:tcPr>
          <w:p w:rsidR="00641E91" w:rsidRDefault="00A66811" w:rsidP="0008010A">
            <w:pPr>
              <w:jc w:val="both"/>
            </w:pPr>
            <w:r>
              <w:t>Mission abroad</w:t>
            </w:r>
          </w:p>
        </w:tc>
      </w:tr>
    </w:tbl>
    <w:p w:rsidR="00641E91" w:rsidRDefault="00641E91" w:rsidP="007D6E1C">
      <w:pPr>
        <w:jc w:val="both"/>
        <w:rPr>
          <w:b/>
        </w:rPr>
      </w:pPr>
    </w:p>
    <w:p w:rsidR="006F3793" w:rsidRPr="00962157" w:rsidRDefault="006F3793" w:rsidP="00962157">
      <w:pPr>
        <w:pStyle w:val="ListParagraph"/>
        <w:numPr>
          <w:ilvl w:val="0"/>
          <w:numId w:val="1"/>
        </w:numPr>
        <w:jc w:val="both"/>
        <w:rPr>
          <w:b/>
          <w:sz w:val="24"/>
          <w:szCs w:val="24"/>
        </w:rPr>
      </w:pPr>
      <w:r w:rsidRPr="00962157">
        <w:rPr>
          <w:b/>
          <w:sz w:val="24"/>
          <w:szCs w:val="24"/>
        </w:rPr>
        <w:t>Opening:</w:t>
      </w:r>
    </w:p>
    <w:p w:rsidR="002B48B1" w:rsidRPr="00467A06" w:rsidRDefault="006F3793" w:rsidP="002B48B1">
      <w:pPr>
        <w:jc w:val="both"/>
      </w:pPr>
      <w:r>
        <w:t xml:space="preserve">The meeting started at about </w:t>
      </w:r>
      <w:r w:rsidR="006D30A3">
        <w:t>9:20</w:t>
      </w:r>
      <w:r>
        <w:t>.</w:t>
      </w:r>
      <w:r w:rsidR="006D30A3">
        <w:t xml:space="preserve"> Again no quorum was achieved in order to elect a chair.</w:t>
      </w:r>
      <w:r w:rsidR="002B48B1">
        <w:t xml:space="preserve"> Annekatrin El Oumrany started with a presentation covering the following topics: </w:t>
      </w:r>
    </w:p>
    <w:p w:rsidR="002B48B1" w:rsidRPr="00D964E0" w:rsidRDefault="002B48B1" w:rsidP="002B48B1">
      <w:pPr>
        <w:numPr>
          <w:ilvl w:val="0"/>
          <w:numId w:val="8"/>
        </w:numPr>
        <w:spacing w:before="360"/>
        <w:ind w:left="357" w:hanging="357"/>
        <w:jc w:val="both"/>
        <w:rPr>
          <w:b/>
        </w:rPr>
      </w:pPr>
      <w:r w:rsidRPr="00D964E0">
        <w:rPr>
          <w:b/>
        </w:rPr>
        <w:t>Conflict of Interest declaration</w:t>
      </w:r>
    </w:p>
    <w:p w:rsidR="002B48B1" w:rsidRDefault="002B48B1" w:rsidP="00A87873">
      <w:pPr>
        <w:spacing w:after="0"/>
        <w:ind w:left="357"/>
        <w:rPr>
          <w:iCs/>
        </w:rPr>
      </w:pPr>
      <w:r>
        <w:t xml:space="preserve">The CCM Constitution requests </w:t>
      </w:r>
      <w:proofErr w:type="gramStart"/>
      <w:r>
        <w:t xml:space="preserve">that </w:t>
      </w:r>
      <w:r>
        <w:rPr>
          <w:i/>
          <w:iCs/>
        </w:rPr>
        <w:t>”</w:t>
      </w:r>
      <w:proofErr w:type="gramEnd"/>
      <w:r>
        <w:rPr>
          <w:i/>
          <w:iCs/>
        </w:rPr>
        <w:t xml:space="preserve"> 21.2: The Oversight Committees shall be made up of CCM members and non-members who are not directly involved in program implementation activities.”</w:t>
      </w:r>
      <w:r>
        <w:rPr>
          <w:iCs/>
        </w:rPr>
        <w:t xml:space="preserve"> While this was the case when the oversight committee members were nominated in June, the situation has changed for several oversight committee members </w:t>
      </w:r>
      <w:r>
        <w:t>during the last quarter 2015</w:t>
      </w:r>
      <w:r w:rsidRPr="00AD0257">
        <w:rPr>
          <w:iCs/>
        </w:rPr>
        <w:t xml:space="preserve"> </w:t>
      </w:r>
      <w:r>
        <w:rPr>
          <w:iCs/>
        </w:rPr>
        <w:t>since:</w:t>
      </w:r>
    </w:p>
    <w:p w:rsidR="002B48B1" w:rsidRDefault="002B48B1" w:rsidP="002B48B1">
      <w:pPr>
        <w:pStyle w:val="ListParagraph"/>
        <w:numPr>
          <w:ilvl w:val="0"/>
          <w:numId w:val="9"/>
        </w:numPr>
        <w:spacing w:after="100" w:afterAutospacing="1"/>
      </w:pPr>
      <w:r>
        <w:t xml:space="preserve">GAC contracted its SRs and SSRs </w:t>
      </w:r>
    </w:p>
    <w:p w:rsidR="002B48B1" w:rsidRDefault="002B48B1" w:rsidP="002B48B1">
      <w:pPr>
        <w:pStyle w:val="ListParagraph"/>
        <w:numPr>
          <w:ilvl w:val="0"/>
          <w:numId w:val="9"/>
        </w:numPr>
        <w:spacing w:before="100" w:beforeAutospacing="1" w:after="100" w:afterAutospacing="1"/>
      </w:pPr>
      <w:r>
        <w:t>NTP contracted 47 NGOs to become implementing partners</w:t>
      </w:r>
    </w:p>
    <w:p w:rsidR="002B48B1" w:rsidRPr="00D964E0" w:rsidRDefault="002B48B1" w:rsidP="002B48B1">
      <w:pPr>
        <w:pStyle w:val="ListParagraph"/>
        <w:numPr>
          <w:ilvl w:val="0"/>
          <w:numId w:val="9"/>
        </w:numPr>
        <w:spacing w:before="100" w:beforeAutospacing="1" w:after="100" w:afterAutospacing="1"/>
      </w:pPr>
      <w:r>
        <w:t xml:space="preserve">NMCP contracted 59 NGOs as implementing partners. </w:t>
      </w:r>
    </w:p>
    <w:p w:rsidR="002B48B1" w:rsidRDefault="002B48B1" w:rsidP="002B48B1">
      <w:pPr>
        <w:ind w:left="360"/>
        <w:jc w:val="both"/>
      </w:pPr>
      <w:r>
        <w:t>The oversight committee members concerned (</w:t>
      </w:r>
      <w:r w:rsidR="00380223">
        <w:t xml:space="preserve">Samuel </w:t>
      </w:r>
      <w:proofErr w:type="spellStart"/>
      <w:r w:rsidR="00380223">
        <w:t>Doodoo</w:t>
      </w:r>
      <w:proofErr w:type="spellEnd"/>
      <w:r w:rsidR="00380223">
        <w:t xml:space="preserve">, </w:t>
      </w:r>
      <w:r w:rsidR="00D61E09">
        <w:t xml:space="preserve">Board member of Stop TB Partnership, implementing partner of NTP and </w:t>
      </w:r>
      <w:r w:rsidR="00D61E09" w:rsidRPr="00A66811">
        <w:t>Jonathan Tetteh-Kwao</w:t>
      </w:r>
      <w:r w:rsidR="00D61E09">
        <w:t xml:space="preserve">, co-partner of Dreamweaver, implementing </w:t>
      </w:r>
      <w:r w:rsidR="00D61E09">
        <w:lastRenderedPageBreak/>
        <w:t>partner of NMCP)</w:t>
      </w:r>
      <w:r>
        <w:t>) have been requested to renew their conflict of interest declarations and to hand in a document describing to which extent they are now directly involved in program implementation activities. These documents will be forwarded to the new Conflict of Interest Committee who will make a decision on the further procedures.</w:t>
      </w:r>
    </w:p>
    <w:p w:rsidR="002B48B1" w:rsidRDefault="002B48B1" w:rsidP="002B48B1">
      <w:pPr>
        <w:ind w:left="360"/>
        <w:jc w:val="both"/>
      </w:pPr>
      <w:r>
        <w:t xml:space="preserve">In this light, the Oversight Committee decided that the members concerned may not contribute to the discussions related to the respective PR. They may however stay in the room to follow the discussions. </w:t>
      </w:r>
    </w:p>
    <w:p w:rsidR="002B48B1" w:rsidRPr="00D964E0" w:rsidRDefault="002B48B1" w:rsidP="002B48B1">
      <w:pPr>
        <w:numPr>
          <w:ilvl w:val="0"/>
          <w:numId w:val="8"/>
        </w:numPr>
        <w:spacing w:before="360"/>
        <w:ind w:left="357" w:hanging="357"/>
        <w:jc w:val="both"/>
        <w:rPr>
          <w:b/>
        </w:rPr>
      </w:pPr>
      <w:r w:rsidRPr="00D964E0">
        <w:rPr>
          <w:b/>
        </w:rPr>
        <w:t xml:space="preserve">Site visits to </w:t>
      </w:r>
      <w:r w:rsidR="00407BA1">
        <w:rPr>
          <w:b/>
        </w:rPr>
        <w:t>HIS and</w:t>
      </w:r>
      <w:r w:rsidRPr="00D964E0">
        <w:rPr>
          <w:b/>
        </w:rPr>
        <w:t xml:space="preserve"> SSDM</w:t>
      </w:r>
    </w:p>
    <w:p w:rsidR="00D61E09" w:rsidRPr="00D61E09" w:rsidRDefault="00D61E09" w:rsidP="00A87873">
      <w:pPr>
        <w:ind w:left="357"/>
        <w:jc w:val="both"/>
        <w:rPr>
          <w:b/>
        </w:rPr>
      </w:pPr>
      <w:r>
        <w:t>The site visits to IHS (Imperial Health Sciences) and SSDM (</w:t>
      </w:r>
      <w:r w:rsidRPr="00027F89">
        <w:t>Supply, Stores and Drug Management</w:t>
      </w:r>
      <w:r>
        <w:t xml:space="preserve"> of GHS)</w:t>
      </w:r>
      <w:r w:rsidRPr="00027F89">
        <w:t xml:space="preserve"> </w:t>
      </w:r>
      <w:r>
        <w:t>were not official oversight site visits as Annekatrin El Oumrany accompanied the GMS consultants to these two institutions. However, she wanted to share her experiences with the Oversight Committee since both institutions contribute to the program implementation. She was particularly impressed by the management of the IHS warehouse that stores Global Fund as well as USAID commodities. She informed further about the objectives and functioning of SSDM and suggested an official site visit to SSDM to better understand the reasons behind the partly significant procurement delays (see the presentation in the annex).</w:t>
      </w:r>
    </w:p>
    <w:p w:rsidR="002B48B1" w:rsidRPr="00561ED9" w:rsidRDefault="002B48B1" w:rsidP="002B48B1">
      <w:pPr>
        <w:numPr>
          <w:ilvl w:val="0"/>
          <w:numId w:val="8"/>
        </w:numPr>
        <w:spacing w:before="360"/>
        <w:ind w:left="357" w:hanging="357"/>
        <w:jc w:val="both"/>
        <w:rPr>
          <w:b/>
        </w:rPr>
      </w:pPr>
      <w:r w:rsidRPr="00561ED9">
        <w:rPr>
          <w:b/>
        </w:rPr>
        <w:t>Organization of site visits</w:t>
      </w:r>
    </w:p>
    <w:p w:rsidR="002B48B1" w:rsidRPr="00467A06" w:rsidRDefault="002B48B1" w:rsidP="002B48B1">
      <w:pPr>
        <w:ind w:left="360"/>
        <w:jc w:val="both"/>
      </w:pPr>
      <w:r w:rsidRPr="009A2235">
        <w:t>Annekatrin El</w:t>
      </w:r>
      <w:r>
        <w:t xml:space="preserve"> Oumrany suggested to invite at least one other CCM member to future site visits to allow them to have a better insight in various aspects of grant implementation. The </w:t>
      </w:r>
      <w:r w:rsidR="00407BA1">
        <w:t xml:space="preserve">Malaria </w:t>
      </w:r>
      <w:r>
        <w:t xml:space="preserve">Oversight Committee agreed. </w:t>
      </w:r>
      <w:r w:rsidR="00BA3220">
        <w:t xml:space="preserve">Felicia </w:t>
      </w:r>
      <w:proofErr w:type="spellStart"/>
      <w:r w:rsidR="00BA3220">
        <w:t>Owusu-Antwi’s</w:t>
      </w:r>
      <w:proofErr w:type="spellEnd"/>
      <w:r w:rsidR="00BA3220">
        <w:t xml:space="preserve"> suggestion to inform the CCM members ahead of time on the planned visits in order to make time was fully agreed upon. </w:t>
      </w:r>
    </w:p>
    <w:p w:rsidR="002B48B1" w:rsidRPr="00561ED9" w:rsidRDefault="002B48B1" w:rsidP="002B48B1">
      <w:pPr>
        <w:numPr>
          <w:ilvl w:val="0"/>
          <w:numId w:val="8"/>
        </w:numPr>
        <w:spacing w:before="360"/>
        <w:ind w:left="357" w:hanging="357"/>
        <w:jc w:val="both"/>
        <w:rPr>
          <w:b/>
        </w:rPr>
      </w:pPr>
      <w:r w:rsidRPr="00561ED9">
        <w:rPr>
          <w:b/>
        </w:rPr>
        <w:t>ITP, reprogramming, status quo of tightened oversight</w:t>
      </w:r>
    </w:p>
    <w:p w:rsidR="002B48B1" w:rsidRPr="009A2235" w:rsidRDefault="009A2235" w:rsidP="009A2235">
      <w:pPr>
        <w:ind w:left="357"/>
      </w:pPr>
      <w:r>
        <w:t>The NMCP request to reprogram savings of 5.5m USD into IRS in Upper East region in addition to IRS in Upper West region was declined by the Global Fund in order to ensure to have sufficient funds available for covering the funding gap in 2017. In the meantime, NMCP was a</w:t>
      </w:r>
      <w:r w:rsidR="00226A83">
        <w:t>b</w:t>
      </w:r>
      <w:r>
        <w:t xml:space="preserve">le </w:t>
      </w:r>
      <w:r w:rsidR="00226A83">
        <w:t xml:space="preserve">to contract a donor of bed nets so that the funding gap in 2017 may be significantly reduced. </w:t>
      </w:r>
    </w:p>
    <w:p w:rsidR="002B48B1" w:rsidRPr="00561ED9" w:rsidRDefault="002B48B1" w:rsidP="002B48B1">
      <w:pPr>
        <w:numPr>
          <w:ilvl w:val="0"/>
          <w:numId w:val="8"/>
        </w:numPr>
        <w:spacing w:before="360"/>
        <w:ind w:left="357" w:hanging="357"/>
        <w:jc w:val="both"/>
        <w:rPr>
          <w:b/>
        </w:rPr>
      </w:pPr>
      <w:r w:rsidRPr="00561ED9">
        <w:rPr>
          <w:b/>
        </w:rPr>
        <w:t>GF performance ratings – changes under the NFM</w:t>
      </w:r>
    </w:p>
    <w:p w:rsidR="002B48B1" w:rsidRPr="00467A06" w:rsidRDefault="002B48B1" w:rsidP="002B48B1">
      <w:pPr>
        <w:ind w:left="360"/>
        <w:jc w:val="both"/>
      </w:pPr>
      <w:r>
        <w:t>The performance rating under the new funding model is based on the average of the programmatic achievement rates and can be downgraded in case of serious management issues. Contrary to the previous GF round, all indicators used to calculate performance rating have the same weight.</w:t>
      </w:r>
    </w:p>
    <w:p w:rsidR="002B48B1" w:rsidRPr="00561ED9" w:rsidRDefault="002B48B1" w:rsidP="002B48B1">
      <w:pPr>
        <w:numPr>
          <w:ilvl w:val="0"/>
          <w:numId w:val="8"/>
        </w:numPr>
        <w:spacing w:before="360"/>
        <w:ind w:left="357" w:hanging="357"/>
        <w:jc w:val="both"/>
        <w:rPr>
          <w:b/>
        </w:rPr>
      </w:pPr>
      <w:r w:rsidRPr="00561ED9">
        <w:rPr>
          <w:b/>
        </w:rPr>
        <w:t>“I speak out now” campaign of the Global Fund</w:t>
      </w:r>
    </w:p>
    <w:p w:rsidR="002B48B1" w:rsidRDefault="002B48B1" w:rsidP="002B48B1">
      <w:pPr>
        <w:ind w:left="357"/>
      </w:pPr>
      <w:r>
        <w:t xml:space="preserve">This </w:t>
      </w:r>
      <w:r w:rsidRPr="00B8315F">
        <w:t xml:space="preserve">GF Campaign </w:t>
      </w:r>
      <w:r>
        <w:t xml:space="preserve">shall </w:t>
      </w:r>
      <w:r w:rsidRPr="00B8315F">
        <w:t>encourage staff and grant implementers to report fraud, corruption, waste and human rights violations that prevent the health commodities and services from reaching the people who need them</w:t>
      </w:r>
      <w:r>
        <w:t xml:space="preserve">. Reporting options include </w:t>
      </w:r>
      <w:r w:rsidRPr="00B8315F">
        <w:t xml:space="preserve">online form, phone, voicemail, email, letter, </w:t>
      </w:r>
      <w:r>
        <w:t xml:space="preserve">and </w:t>
      </w:r>
      <w:r w:rsidRPr="00B8315F">
        <w:t>fax</w:t>
      </w:r>
      <w:r>
        <w:t xml:space="preserve">, thereby </w:t>
      </w:r>
      <w:r>
        <w:lastRenderedPageBreak/>
        <w:t xml:space="preserve">allowing confidentiality or anonymity. More information is available on </w:t>
      </w:r>
      <w:hyperlink r:id="rId8" w:history="1">
        <w:r w:rsidRPr="00B8315F">
          <w:rPr>
            <w:rStyle w:val="Hyperlink"/>
          </w:rPr>
          <w:t>http</w:t>
        </w:r>
      </w:hyperlink>
      <w:hyperlink r:id="rId9" w:history="1">
        <w:r w:rsidRPr="00B8315F">
          <w:rPr>
            <w:rStyle w:val="Hyperlink"/>
          </w:rPr>
          <w:t>://</w:t>
        </w:r>
      </w:hyperlink>
      <w:hyperlink r:id="rId10" w:history="1">
        <w:r w:rsidRPr="00B8315F">
          <w:rPr>
            <w:rStyle w:val="Hyperlink"/>
          </w:rPr>
          <w:t>www.ispeakoutnow.org</w:t>
        </w:r>
      </w:hyperlink>
      <w:r>
        <w:t xml:space="preserve">; the link is also available on the CCM website </w:t>
      </w:r>
      <w:hyperlink r:id="rId11" w:history="1">
        <w:r w:rsidRPr="00B8315F">
          <w:rPr>
            <w:rStyle w:val="Hyperlink"/>
          </w:rPr>
          <w:t>www.ccmghana.net</w:t>
        </w:r>
      </w:hyperlink>
      <w:r>
        <w:t xml:space="preserve">. </w:t>
      </w:r>
    </w:p>
    <w:p w:rsidR="002B48B1" w:rsidRPr="00B8315F" w:rsidRDefault="002B48B1" w:rsidP="002B48B1">
      <w:pPr>
        <w:numPr>
          <w:ilvl w:val="0"/>
          <w:numId w:val="8"/>
        </w:numPr>
        <w:spacing w:before="360"/>
        <w:ind w:left="357" w:hanging="357"/>
        <w:jc w:val="both"/>
        <w:rPr>
          <w:b/>
        </w:rPr>
      </w:pPr>
      <w:r w:rsidRPr="00B8315F">
        <w:rPr>
          <w:b/>
        </w:rPr>
        <w:t>CCM website</w:t>
      </w:r>
    </w:p>
    <w:p w:rsidR="002B48B1" w:rsidRPr="00467A06" w:rsidRDefault="002B48B1" w:rsidP="002B48B1">
      <w:pPr>
        <w:ind w:left="360"/>
        <w:jc w:val="both"/>
      </w:pPr>
      <w:r>
        <w:t xml:space="preserve">A lot of content has been added to the CCM website </w:t>
      </w:r>
      <w:hyperlink r:id="rId12" w:history="1">
        <w:r w:rsidRPr="00092693">
          <w:rPr>
            <w:rStyle w:val="Hyperlink"/>
          </w:rPr>
          <w:t>www.ccmghana.net</w:t>
        </w:r>
      </w:hyperlink>
      <w:r>
        <w:t xml:space="preserve">. Particularly the section on “About us” is more or less complete, while other parts are yet to be completed. The OC members were invited to have a look at the website and to inform their constituencies about the wealth of information available and particularly the forum where questions on the Global Fund and CCM will be answered and where constituencies can also provide their feedback on program implementation. </w:t>
      </w:r>
    </w:p>
    <w:p w:rsidR="002B48B1" w:rsidRDefault="002B48B1" w:rsidP="007D6E1C">
      <w:pPr>
        <w:jc w:val="both"/>
      </w:pPr>
    </w:p>
    <w:p w:rsidR="006F3793" w:rsidRPr="00962157" w:rsidRDefault="008C026B" w:rsidP="00A87873">
      <w:pPr>
        <w:pStyle w:val="ListParagraph"/>
        <w:numPr>
          <w:ilvl w:val="0"/>
          <w:numId w:val="1"/>
        </w:numPr>
        <w:ind w:left="357" w:hanging="357"/>
        <w:contextualSpacing w:val="0"/>
        <w:jc w:val="both"/>
        <w:rPr>
          <w:b/>
          <w:sz w:val="24"/>
          <w:szCs w:val="24"/>
        </w:rPr>
      </w:pPr>
      <w:r w:rsidRPr="00962157">
        <w:rPr>
          <w:b/>
          <w:sz w:val="24"/>
          <w:szCs w:val="24"/>
        </w:rPr>
        <w:t>AGA MAL Dash Board:</w:t>
      </w:r>
    </w:p>
    <w:p w:rsidR="008C026B" w:rsidRPr="00962157" w:rsidRDefault="008C026B" w:rsidP="00671CBC">
      <w:pPr>
        <w:pStyle w:val="ListParagraph"/>
        <w:numPr>
          <w:ilvl w:val="0"/>
          <w:numId w:val="5"/>
        </w:numPr>
        <w:spacing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055"/>
        <w:gridCol w:w="2679"/>
        <w:gridCol w:w="5691"/>
      </w:tblGrid>
      <w:tr w:rsidR="00671CBC" w:rsidTr="00A87873">
        <w:tc>
          <w:tcPr>
            <w:tcW w:w="1055" w:type="dxa"/>
          </w:tcPr>
          <w:p w:rsidR="00671CBC" w:rsidRDefault="00671CBC" w:rsidP="00B8440B">
            <w:pPr>
              <w:pStyle w:val="ListParagraph"/>
              <w:spacing w:before="120"/>
              <w:ind w:left="0"/>
              <w:contextualSpacing w:val="0"/>
              <w:jc w:val="both"/>
              <w:rPr>
                <w:b/>
              </w:rPr>
            </w:pPr>
            <w:r>
              <w:rPr>
                <w:b/>
              </w:rPr>
              <w:t>Indicator</w:t>
            </w:r>
          </w:p>
        </w:tc>
        <w:tc>
          <w:tcPr>
            <w:tcW w:w="2679" w:type="dxa"/>
          </w:tcPr>
          <w:p w:rsidR="00671CBC" w:rsidRDefault="00671CBC" w:rsidP="00B8440B">
            <w:pPr>
              <w:pStyle w:val="ListParagraph"/>
              <w:spacing w:before="120"/>
              <w:ind w:left="0"/>
              <w:contextualSpacing w:val="0"/>
              <w:jc w:val="both"/>
              <w:rPr>
                <w:b/>
              </w:rPr>
            </w:pPr>
            <w:r>
              <w:rPr>
                <w:b/>
              </w:rPr>
              <w:t xml:space="preserve">Observation </w:t>
            </w:r>
          </w:p>
        </w:tc>
        <w:tc>
          <w:tcPr>
            <w:tcW w:w="5691" w:type="dxa"/>
          </w:tcPr>
          <w:p w:rsidR="00671CBC" w:rsidRDefault="00671CBC" w:rsidP="00B8440B">
            <w:pPr>
              <w:pStyle w:val="ListParagraph"/>
              <w:spacing w:before="120"/>
              <w:ind w:left="0"/>
              <w:contextualSpacing w:val="0"/>
              <w:jc w:val="both"/>
              <w:rPr>
                <w:b/>
              </w:rPr>
            </w:pPr>
            <w:r>
              <w:rPr>
                <w:b/>
              </w:rPr>
              <w:t xml:space="preserve">Answer / Decision </w:t>
            </w:r>
          </w:p>
        </w:tc>
      </w:tr>
      <w:tr w:rsidR="00671CBC" w:rsidTr="00A87873">
        <w:tc>
          <w:tcPr>
            <w:tcW w:w="1055" w:type="dxa"/>
          </w:tcPr>
          <w:p w:rsidR="00671CBC" w:rsidRDefault="006D30A3" w:rsidP="00B8440B">
            <w:pPr>
              <w:pStyle w:val="ListParagraph"/>
              <w:spacing w:before="120"/>
              <w:ind w:left="0"/>
              <w:contextualSpacing w:val="0"/>
              <w:jc w:val="both"/>
              <w:rPr>
                <w:b/>
              </w:rPr>
            </w:pPr>
            <w:r>
              <w:rPr>
                <w:b/>
              </w:rPr>
              <w:t>F1</w:t>
            </w:r>
          </w:p>
        </w:tc>
        <w:tc>
          <w:tcPr>
            <w:tcW w:w="2679" w:type="dxa"/>
          </w:tcPr>
          <w:p w:rsidR="00671CBC" w:rsidRPr="006D30A3" w:rsidRDefault="00A87873" w:rsidP="00A87873">
            <w:pPr>
              <w:pStyle w:val="ListParagraph"/>
              <w:spacing w:before="120"/>
              <w:ind w:left="0"/>
              <w:contextualSpacing w:val="0"/>
            </w:pPr>
            <w:r w:rsidRPr="00A87873">
              <w:rPr>
                <w:b/>
              </w:rPr>
              <w:t>GF Budget/disbursement</w:t>
            </w:r>
            <w:r>
              <w:t xml:space="preserve">: </w:t>
            </w:r>
            <w:r w:rsidR="006D30A3">
              <w:t>Carry over from previous grant cycle added to disbursements</w:t>
            </w:r>
          </w:p>
        </w:tc>
        <w:tc>
          <w:tcPr>
            <w:tcW w:w="5691" w:type="dxa"/>
          </w:tcPr>
          <w:p w:rsidR="00671CBC" w:rsidRPr="006D30A3" w:rsidRDefault="006D30A3" w:rsidP="00A87873">
            <w:pPr>
              <w:pStyle w:val="ListParagraph"/>
              <w:spacing w:before="120"/>
              <w:ind w:left="0"/>
              <w:contextualSpacing w:val="0"/>
            </w:pPr>
            <w:r>
              <w:t>AGA Mal is requested to adjust the budget to account for the 5m expenditures for insecticides.</w:t>
            </w:r>
          </w:p>
        </w:tc>
      </w:tr>
      <w:tr w:rsidR="006D30A3" w:rsidTr="00A87873">
        <w:tc>
          <w:tcPr>
            <w:tcW w:w="1055" w:type="dxa"/>
          </w:tcPr>
          <w:p w:rsidR="006D30A3" w:rsidRDefault="006D30A3" w:rsidP="00B8440B">
            <w:pPr>
              <w:pStyle w:val="ListParagraph"/>
              <w:spacing w:before="120"/>
              <w:ind w:left="0"/>
              <w:contextualSpacing w:val="0"/>
              <w:jc w:val="both"/>
              <w:rPr>
                <w:b/>
              </w:rPr>
            </w:pPr>
            <w:r>
              <w:rPr>
                <w:b/>
              </w:rPr>
              <w:t>F2</w:t>
            </w:r>
          </w:p>
        </w:tc>
        <w:tc>
          <w:tcPr>
            <w:tcW w:w="2679" w:type="dxa"/>
          </w:tcPr>
          <w:p w:rsidR="006D30A3" w:rsidRPr="006D30A3" w:rsidRDefault="00A87873" w:rsidP="00A87873">
            <w:pPr>
              <w:pStyle w:val="ListParagraph"/>
              <w:spacing w:before="120"/>
              <w:ind w:left="0"/>
              <w:contextualSpacing w:val="0"/>
            </w:pPr>
            <w:r w:rsidRPr="00A87873">
              <w:rPr>
                <w:b/>
              </w:rPr>
              <w:t>PR budget/expenditures</w:t>
            </w:r>
            <w:r>
              <w:t xml:space="preserve">: </w:t>
            </w:r>
            <w:r w:rsidR="006D30A3">
              <w:t>Burn rate in P4 (not accumulated) = 145% = significant improvement over previous periods</w:t>
            </w:r>
          </w:p>
        </w:tc>
        <w:tc>
          <w:tcPr>
            <w:tcW w:w="5691" w:type="dxa"/>
          </w:tcPr>
          <w:p w:rsidR="006D30A3" w:rsidRPr="006D30A3" w:rsidRDefault="006D30A3" w:rsidP="00A87873">
            <w:pPr>
              <w:pStyle w:val="ListParagraph"/>
              <w:spacing w:before="120"/>
              <w:ind w:left="0"/>
              <w:contextualSpacing w:val="0"/>
            </w:pPr>
          </w:p>
        </w:tc>
      </w:tr>
    </w:tbl>
    <w:p w:rsidR="002611FF" w:rsidRPr="00F13BBA" w:rsidRDefault="002611FF" w:rsidP="00671CBC">
      <w:pPr>
        <w:pStyle w:val="ListParagraph"/>
        <w:numPr>
          <w:ilvl w:val="0"/>
          <w:numId w:val="5"/>
        </w:numPr>
        <w:spacing w:before="360" w:after="120"/>
        <w:ind w:left="357" w:hanging="357"/>
        <w:contextualSpacing w:val="0"/>
        <w:jc w:val="both"/>
        <w:rPr>
          <w:b/>
        </w:rPr>
      </w:pPr>
      <w:r w:rsidRPr="00F13BBA">
        <w:rPr>
          <w:b/>
        </w:rPr>
        <w:t>Management Indicators:</w:t>
      </w:r>
    </w:p>
    <w:tbl>
      <w:tblPr>
        <w:tblStyle w:val="TableGrid"/>
        <w:tblW w:w="0" w:type="auto"/>
        <w:tblInd w:w="357" w:type="dxa"/>
        <w:tblLook w:val="04A0" w:firstRow="1" w:lastRow="0" w:firstColumn="1" w:lastColumn="0" w:noHBand="0" w:noVBand="1"/>
      </w:tblPr>
      <w:tblGrid>
        <w:gridCol w:w="1056"/>
        <w:gridCol w:w="2654"/>
        <w:gridCol w:w="5715"/>
      </w:tblGrid>
      <w:tr w:rsidR="00371F42" w:rsidTr="00A87873">
        <w:tc>
          <w:tcPr>
            <w:tcW w:w="1056" w:type="dxa"/>
          </w:tcPr>
          <w:p w:rsidR="00371F42" w:rsidRDefault="00371F42" w:rsidP="00B8440B">
            <w:pPr>
              <w:pStyle w:val="ListParagraph"/>
              <w:spacing w:before="120"/>
              <w:ind w:left="0"/>
              <w:contextualSpacing w:val="0"/>
              <w:jc w:val="both"/>
              <w:rPr>
                <w:b/>
              </w:rPr>
            </w:pPr>
            <w:r>
              <w:rPr>
                <w:b/>
              </w:rPr>
              <w:t>Indicator</w:t>
            </w:r>
          </w:p>
        </w:tc>
        <w:tc>
          <w:tcPr>
            <w:tcW w:w="2654" w:type="dxa"/>
          </w:tcPr>
          <w:p w:rsidR="00371F42" w:rsidRDefault="00371F42" w:rsidP="00B8440B">
            <w:pPr>
              <w:pStyle w:val="ListParagraph"/>
              <w:spacing w:before="120"/>
              <w:ind w:left="0"/>
              <w:contextualSpacing w:val="0"/>
              <w:jc w:val="both"/>
              <w:rPr>
                <w:b/>
              </w:rPr>
            </w:pPr>
            <w:r>
              <w:rPr>
                <w:b/>
              </w:rPr>
              <w:t xml:space="preserve">Observation  </w:t>
            </w:r>
          </w:p>
        </w:tc>
        <w:tc>
          <w:tcPr>
            <w:tcW w:w="5715" w:type="dxa"/>
          </w:tcPr>
          <w:p w:rsidR="00371F42" w:rsidRDefault="00371F42" w:rsidP="00B8440B">
            <w:pPr>
              <w:pStyle w:val="ListParagraph"/>
              <w:spacing w:before="120"/>
              <w:ind w:left="0"/>
              <w:contextualSpacing w:val="0"/>
              <w:jc w:val="both"/>
              <w:rPr>
                <w:b/>
              </w:rPr>
            </w:pPr>
            <w:r>
              <w:rPr>
                <w:b/>
              </w:rPr>
              <w:t xml:space="preserve">Answer / Decision </w:t>
            </w:r>
          </w:p>
        </w:tc>
      </w:tr>
      <w:tr w:rsidR="00371F42" w:rsidTr="00A87873">
        <w:tc>
          <w:tcPr>
            <w:tcW w:w="1056" w:type="dxa"/>
          </w:tcPr>
          <w:p w:rsidR="00371F42" w:rsidRDefault="00371F42" w:rsidP="00B8440B">
            <w:pPr>
              <w:pStyle w:val="ListParagraph"/>
              <w:spacing w:before="120"/>
              <w:ind w:left="0"/>
              <w:contextualSpacing w:val="0"/>
              <w:jc w:val="both"/>
              <w:rPr>
                <w:b/>
              </w:rPr>
            </w:pPr>
            <w:r>
              <w:rPr>
                <w:b/>
              </w:rPr>
              <w:t>M5</w:t>
            </w:r>
          </w:p>
        </w:tc>
        <w:tc>
          <w:tcPr>
            <w:tcW w:w="2654" w:type="dxa"/>
          </w:tcPr>
          <w:p w:rsidR="00371F42" w:rsidRPr="006D30A3" w:rsidRDefault="00A87873" w:rsidP="006D30A3">
            <w:pPr>
              <w:pStyle w:val="ListParagraph"/>
              <w:spacing w:before="120"/>
              <w:ind w:left="0"/>
              <w:contextualSpacing w:val="0"/>
            </w:pPr>
            <w:r>
              <w:t>Which are the o</w:t>
            </w:r>
            <w:r w:rsidR="006D30A3" w:rsidRPr="006D30A3">
              <w:t xml:space="preserve">bligations </w:t>
            </w:r>
            <w:r w:rsidR="006D30A3">
              <w:t>made in P4?</w:t>
            </w:r>
          </w:p>
        </w:tc>
        <w:tc>
          <w:tcPr>
            <w:tcW w:w="5715" w:type="dxa"/>
          </w:tcPr>
          <w:p w:rsidR="00371F42" w:rsidRPr="006D30A3" w:rsidRDefault="006D30A3" w:rsidP="006D30A3">
            <w:pPr>
              <w:pStyle w:val="ListParagraph"/>
              <w:spacing w:before="120"/>
              <w:ind w:left="0"/>
              <w:contextualSpacing w:val="0"/>
            </w:pPr>
            <w:r>
              <w:t>For external professional services to carry out a survey</w:t>
            </w:r>
          </w:p>
        </w:tc>
      </w:tr>
    </w:tbl>
    <w:p w:rsidR="00F13BBA" w:rsidRPr="00F13BBA" w:rsidRDefault="00F13BBA" w:rsidP="00671CBC">
      <w:pPr>
        <w:pStyle w:val="ListParagraph"/>
        <w:numPr>
          <w:ilvl w:val="0"/>
          <w:numId w:val="5"/>
        </w:numPr>
        <w:spacing w:before="360" w:after="120"/>
        <w:ind w:left="357" w:hanging="357"/>
        <w:contextualSpacing w:val="0"/>
        <w:jc w:val="both"/>
        <w:rPr>
          <w:b/>
        </w:rPr>
      </w:pPr>
      <w:r w:rsidRPr="00F13BBA">
        <w:rPr>
          <w:b/>
        </w:rPr>
        <w:t>Programmatic Indicators:</w:t>
      </w:r>
    </w:p>
    <w:tbl>
      <w:tblPr>
        <w:tblStyle w:val="TableGrid"/>
        <w:tblW w:w="0" w:type="auto"/>
        <w:tblInd w:w="357" w:type="dxa"/>
        <w:tblLook w:val="04A0" w:firstRow="1" w:lastRow="0" w:firstColumn="1" w:lastColumn="0" w:noHBand="0" w:noVBand="1"/>
      </w:tblPr>
      <w:tblGrid>
        <w:gridCol w:w="1056"/>
        <w:gridCol w:w="2656"/>
        <w:gridCol w:w="5713"/>
      </w:tblGrid>
      <w:tr w:rsidR="008657B7" w:rsidTr="008657B7">
        <w:tc>
          <w:tcPr>
            <w:tcW w:w="1056" w:type="dxa"/>
          </w:tcPr>
          <w:p w:rsidR="008657B7" w:rsidRDefault="008657B7" w:rsidP="00B8440B">
            <w:pPr>
              <w:pStyle w:val="ListParagraph"/>
              <w:spacing w:before="120"/>
              <w:ind w:left="0"/>
              <w:contextualSpacing w:val="0"/>
              <w:jc w:val="both"/>
              <w:rPr>
                <w:b/>
              </w:rPr>
            </w:pPr>
            <w:r>
              <w:rPr>
                <w:b/>
              </w:rPr>
              <w:t>Indicator</w:t>
            </w:r>
          </w:p>
        </w:tc>
        <w:tc>
          <w:tcPr>
            <w:tcW w:w="2656" w:type="dxa"/>
          </w:tcPr>
          <w:p w:rsidR="008657B7" w:rsidRDefault="008657B7" w:rsidP="00B8440B">
            <w:pPr>
              <w:pStyle w:val="ListParagraph"/>
              <w:spacing w:before="120"/>
              <w:ind w:left="0"/>
              <w:contextualSpacing w:val="0"/>
              <w:jc w:val="both"/>
              <w:rPr>
                <w:b/>
              </w:rPr>
            </w:pPr>
            <w:r>
              <w:rPr>
                <w:b/>
              </w:rPr>
              <w:t xml:space="preserve">Observation  </w:t>
            </w:r>
          </w:p>
        </w:tc>
        <w:tc>
          <w:tcPr>
            <w:tcW w:w="5713" w:type="dxa"/>
          </w:tcPr>
          <w:p w:rsidR="008657B7" w:rsidRDefault="008657B7" w:rsidP="00B8440B">
            <w:pPr>
              <w:pStyle w:val="ListParagraph"/>
              <w:spacing w:before="120"/>
              <w:ind w:left="0"/>
              <w:contextualSpacing w:val="0"/>
              <w:jc w:val="both"/>
              <w:rPr>
                <w:b/>
              </w:rPr>
            </w:pPr>
            <w:r>
              <w:rPr>
                <w:b/>
              </w:rPr>
              <w:t xml:space="preserve">Answer / Decision </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Pr1</w:t>
            </w:r>
          </w:p>
        </w:tc>
        <w:tc>
          <w:tcPr>
            <w:tcW w:w="2656" w:type="dxa"/>
          </w:tcPr>
          <w:p w:rsidR="008657B7" w:rsidRPr="00C23D27" w:rsidRDefault="00A87873" w:rsidP="00C23D27">
            <w:pPr>
              <w:pStyle w:val="ListParagraph"/>
              <w:spacing w:before="120"/>
              <w:ind w:left="0"/>
              <w:contextualSpacing w:val="0"/>
            </w:pPr>
            <w:r w:rsidRPr="00A87873">
              <w:rPr>
                <w:b/>
              </w:rPr>
              <w:t>IRS population</w:t>
            </w:r>
            <w:r>
              <w:t xml:space="preserve">: </w:t>
            </w:r>
            <w:r w:rsidR="00C23D27" w:rsidRPr="00C23D27">
              <w:t>IRS will restart in April, until then no programmatic achievements</w:t>
            </w:r>
          </w:p>
        </w:tc>
        <w:tc>
          <w:tcPr>
            <w:tcW w:w="5713" w:type="dxa"/>
          </w:tcPr>
          <w:p w:rsidR="008657B7" w:rsidRPr="00C23D27" w:rsidRDefault="008657B7" w:rsidP="00C23D27">
            <w:pPr>
              <w:pStyle w:val="ListParagraph"/>
              <w:spacing w:before="120"/>
              <w:ind w:left="0"/>
              <w:contextualSpacing w:val="0"/>
            </w:pPr>
          </w:p>
        </w:tc>
      </w:tr>
    </w:tbl>
    <w:p w:rsidR="00CD2A14" w:rsidRPr="00E8761A" w:rsidRDefault="008260F3" w:rsidP="00671CBC">
      <w:pPr>
        <w:pStyle w:val="ListParagraph"/>
        <w:numPr>
          <w:ilvl w:val="0"/>
          <w:numId w:val="5"/>
        </w:numPr>
        <w:spacing w:before="360" w:after="120"/>
        <w:ind w:left="357" w:hanging="357"/>
        <w:contextualSpacing w:val="0"/>
        <w:jc w:val="both"/>
      </w:pPr>
      <w:r>
        <w:rPr>
          <w:b/>
        </w:rPr>
        <w:t xml:space="preserve">Recommendations </w:t>
      </w:r>
      <w:r w:rsidR="00E8761A">
        <w:t>–</w:t>
      </w:r>
      <w:r w:rsidR="00E8761A" w:rsidRPr="00E8761A">
        <w:t xml:space="preserve"> </w:t>
      </w:r>
      <w:r w:rsidR="00E8761A">
        <w:t xml:space="preserve">Scale down of activities has resulted in savings, e.g. equipment can be replaced by that previously used in regions that are not targeted anymore. AGA MAL is requested to come up with the projection of the savings until E/2016 and to think about </w:t>
      </w:r>
      <w:r w:rsidR="00906F33">
        <w:t>how to use the savings.</w:t>
      </w:r>
    </w:p>
    <w:p w:rsidR="008260F3" w:rsidRPr="008260F3" w:rsidRDefault="00962157" w:rsidP="008260F3">
      <w:pPr>
        <w:pStyle w:val="ListParagraph"/>
        <w:numPr>
          <w:ilvl w:val="0"/>
          <w:numId w:val="1"/>
        </w:numPr>
        <w:spacing w:before="240"/>
        <w:ind w:left="357" w:hanging="357"/>
        <w:contextualSpacing w:val="0"/>
        <w:jc w:val="both"/>
        <w:rPr>
          <w:b/>
          <w:sz w:val="24"/>
          <w:szCs w:val="24"/>
        </w:rPr>
      </w:pPr>
      <w:bookmarkStart w:id="0" w:name="_GoBack"/>
      <w:bookmarkEnd w:id="0"/>
      <w:r>
        <w:rPr>
          <w:b/>
          <w:sz w:val="24"/>
          <w:szCs w:val="24"/>
        </w:rPr>
        <w:lastRenderedPageBreak/>
        <w:t>NMCP Dash Board</w:t>
      </w:r>
    </w:p>
    <w:p w:rsidR="00F13BBA" w:rsidRPr="00962157" w:rsidRDefault="00F13BBA" w:rsidP="00671CBC">
      <w:pPr>
        <w:pStyle w:val="ListParagraph"/>
        <w:numPr>
          <w:ilvl w:val="0"/>
          <w:numId w:val="6"/>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52"/>
        <w:gridCol w:w="5717"/>
      </w:tblGrid>
      <w:tr w:rsidR="00671CBC" w:rsidTr="00A87873">
        <w:tc>
          <w:tcPr>
            <w:tcW w:w="1056" w:type="dxa"/>
          </w:tcPr>
          <w:p w:rsidR="00671CBC" w:rsidRDefault="00671CBC" w:rsidP="00B8440B">
            <w:pPr>
              <w:pStyle w:val="ListParagraph"/>
              <w:spacing w:before="120"/>
              <w:ind w:left="0"/>
              <w:contextualSpacing w:val="0"/>
              <w:jc w:val="both"/>
              <w:rPr>
                <w:b/>
              </w:rPr>
            </w:pPr>
            <w:r>
              <w:rPr>
                <w:b/>
              </w:rPr>
              <w:t>Indicator</w:t>
            </w:r>
          </w:p>
        </w:tc>
        <w:tc>
          <w:tcPr>
            <w:tcW w:w="2652" w:type="dxa"/>
          </w:tcPr>
          <w:p w:rsidR="00671CBC" w:rsidRDefault="00671CBC" w:rsidP="00B8440B">
            <w:pPr>
              <w:pStyle w:val="ListParagraph"/>
              <w:spacing w:before="120"/>
              <w:ind w:left="0"/>
              <w:contextualSpacing w:val="0"/>
              <w:jc w:val="both"/>
              <w:rPr>
                <w:b/>
              </w:rPr>
            </w:pPr>
            <w:r>
              <w:rPr>
                <w:b/>
              </w:rPr>
              <w:t xml:space="preserve">Observation </w:t>
            </w:r>
          </w:p>
        </w:tc>
        <w:tc>
          <w:tcPr>
            <w:tcW w:w="5717" w:type="dxa"/>
          </w:tcPr>
          <w:p w:rsidR="00671CBC" w:rsidRDefault="00671CBC" w:rsidP="00B8440B">
            <w:pPr>
              <w:pStyle w:val="ListParagraph"/>
              <w:spacing w:before="120"/>
              <w:ind w:left="0"/>
              <w:contextualSpacing w:val="0"/>
              <w:jc w:val="both"/>
              <w:rPr>
                <w:b/>
              </w:rPr>
            </w:pPr>
            <w:r>
              <w:rPr>
                <w:b/>
              </w:rPr>
              <w:t xml:space="preserve">Answer / Decision </w:t>
            </w:r>
          </w:p>
        </w:tc>
      </w:tr>
      <w:tr w:rsidR="0074463B" w:rsidTr="00A87873">
        <w:tc>
          <w:tcPr>
            <w:tcW w:w="1056" w:type="dxa"/>
          </w:tcPr>
          <w:p w:rsidR="0074463B" w:rsidRDefault="0074463B" w:rsidP="00B8440B">
            <w:pPr>
              <w:pStyle w:val="ListParagraph"/>
              <w:spacing w:before="120"/>
              <w:ind w:left="0"/>
              <w:contextualSpacing w:val="0"/>
              <w:jc w:val="both"/>
              <w:rPr>
                <w:b/>
              </w:rPr>
            </w:pPr>
            <w:r>
              <w:rPr>
                <w:b/>
              </w:rPr>
              <w:t>F2</w:t>
            </w:r>
          </w:p>
        </w:tc>
        <w:tc>
          <w:tcPr>
            <w:tcW w:w="2652" w:type="dxa"/>
          </w:tcPr>
          <w:p w:rsidR="00E8761A" w:rsidRDefault="00A87873" w:rsidP="0074463B">
            <w:pPr>
              <w:pStyle w:val="ListParagraph"/>
              <w:spacing w:before="120"/>
              <w:ind w:left="0"/>
              <w:contextualSpacing w:val="0"/>
            </w:pPr>
            <w:r w:rsidRPr="00A87873">
              <w:rPr>
                <w:b/>
              </w:rPr>
              <w:t>PR budget/expenditures</w:t>
            </w:r>
            <w:r>
              <w:rPr>
                <w:b/>
              </w:rPr>
              <w:t>:</w:t>
            </w:r>
            <w:r>
              <w:t xml:space="preserve"> </w:t>
            </w:r>
            <w:r w:rsidR="0074463B">
              <w:t>Low burn for case management in P4 (=8%)</w:t>
            </w:r>
            <w:r w:rsidR="00E8761A">
              <w:t xml:space="preserve"> </w:t>
            </w:r>
          </w:p>
          <w:p w:rsidR="00E8761A" w:rsidRDefault="00E8761A" w:rsidP="00E8761A">
            <w:pPr>
              <w:pStyle w:val="ListParagraph"/>
              <w:spacing w:before="120"/>
              <w:ind w:left="0"/>
              <w:contextualSpacing w:val="0"/>
            </w:pPr>
          </w:p>
          <w:p w:rsidR="00E8761A" w:rsidRDefault="00E8761A" w:rsidP="00E8761A">
            <w:pPr>
              <w:pStyle w:val="ListParagraph"/>
              <w:spacing w:before="120"/>
              <w:ind w:left="0"/>
              <w:contextualSpacing w:val="0"/>
            </w:pPr>
          </w:p>
          <w:p w:rsidR="00E8761A" w:rsidRDefault="00E8761A" w:rsidP="00E8761A">
            <w:pPr>
              <w:pStyle w:val="ListParagraph"/>
              <w:spacing w:before="120"/>
              <w:ind w:left="0"/>
              <w:contextualSpacing w:val="0"/>
            </w:pPr>
          </w:p>
          <w:p w:rsidR="00E8761A" w:rsidRDefault="00E8761A" w:rsidP="00E8761A">
            <w:pPr>
              <w:pStyle w:val="ListParagraph"/>
              <w:spacing w:before="120"/>
              <w:ind w:left="0"/>
              <w:contextualSpacing w:val="0"/>
            </w:pPr>
          </w:p>
          <w:p w:rsidR="00E8761A" w:rsidRDefault="00E8761A" w:rsidP="00E8761A">
            <w:pPr>
              <w:pStyle w:val="ListParagraph"/>
              <w:spacing w:before="120"/>
              <w:ind w:left="0"/>
              <w:contextualSpacing w:val="0"/>
            </w:pPr>
          </w:p>
          <w:p w:rsidR="0074463B" w:rsidRPr="0074463B" w:rsidRDefault="00E8761A" w:rsidP="00226A83">
            <w:pPr>
              <w:pStyle w:val="ListParagraph"/>
              <w:ind w:left="0"/>
              <w:contextualSpacing w:val="0"/>
            </w:pPr>
            <w:r>
              <w:t>Q1/2016 budget = 22m: status quo of absorption?</w:t>
            </w:r>
          </w:p>
        </w:tc>
        <w:tc>
          <w:tcPr>
            <w:tcW w:w="5717" w:type="dxa"/>
          </w:tcPr>
          <w:p w:rsidR="00146156" w:rsidRDefault="0074463B" w:rsidP="0074463B">
            <w:pPr>
              <w:pStyle w:val="ListParagraph"/>
              <w:spacing w:before="120"/>
              <w:ind w:left="0"/>
              <w:contextualSpacing w:val="0"/>
            </w:pPr>
            <w:r>
              <w:t xml:space="preserve">Funds to be used primarily for trainings. Outcomes need to be evaluated before trainings can continue. </w:t>
            </w:r>
            <w:r w:rsidR="00146156">
              <w:t xml:space="preserve">Cascade training separately for private and public sectors. </w:t>
            </w:r>
            <w:proofErr w:type="spellStart"/>
            <w:r w:rsidR="00146156">
              <w:t>ToT</w:t>
            </w:r>
            <w:proofErr w:type="spellEnd"/>
            <w:r w:rsidR="00146156">
              <w:t xml:space="preserve"> first done for private sector </w:t>
            </w:r>
            <w:r w:rsidR="001A7D1D">
              <w:t xml:space="preserve">and quasi-government </w:t>
            </w:r>
            <w:r w:rsidR="00146156">
              <w:t xml:space="preserve">before those move down. Misunderstanding with regions </w:t>
            </w:r>
            <w:r w:rsidR="00E8761A">
              <w:t xml:space="preserve">on </w:t>
            </w:r>
            <w:r w:rsidR="00146156">
              <w:t xml:space="preserve">how </w:t>
            </w:r>
            <w:r w:rsidR="00E8761A">
              <w:t xml:space="preserve">regional </w:t>
            </w:r>
            <w:r w:rsidR="00146156">
              <w:t xml:space="preserve">funds </w:t>
            </w:r>
            <w:r w:rsidR="00E8761A">
              <w:t xml:space="preserve">shall be disbursed to districts in order to handle the trainings </w:t>
            </w:r>
            <w:proofErr w:type="gramStart"/>
            <w:r w:rsidR="00E8761A">
              <w:t xml:space="preserve">- </w:t>
            </w:r>
            <w:r w:rsidR="00146156">
              <w:t xml:space="preserve"> </w:t>
            </w:r>
            <w:r w:rsidR="00E8761A">
              <w:t>should</w:t>
            </w:r>
            <w:proofErr w:type="gramEnd"/>
            <w:r w:rsidR="00E8761A">
              <w:t xml:space="preserve"> be sorted out by now</w:t>
            </w:r>
            <w:r w:rsidR="00146156">
              <w:t xml:space="preserve">. </w:t>
            </w:r>
          </w:p>
          <w:p w:rsidR="0074463B" w:rsidRDefault="00146156" w:rsidP="0074463B">
            <w:pPr>
              <w:pStyle w:val="ListParagraph"/>
              <w:spacing w:before="120"/>
              <w:ind w:left="0"/>
              <w:contextualSpacing w:val="0"/>
            </w:pPr>
            <w:r>
              <w:t xml:space="preserve">Budget includes ACTs but no deliveries = no expenditures in P4. </w:t>
            </w:r>
            <w:r w:rsidR="002240F4">
              <w:t>Not many shipments either expected in Q1/2016</w:t>
            </w:r>
          </w:p>
          <w:p w:rsidR="002240F4" w:rsidRPr="0074463B" w:rsidRDefault="00BC716F" w:rsidP="00BD798F">
            <w:pPr>
              <w:pStyle w:val="ListParagraph"/>
              <w:spacing w:before="120"/>
              <w:ind w:left="0"/>
              <w:contextualSpacing w:val="0"/>
            </w:pPr>
            <w:r>
              <w:t xml:space="preserve">10m is for copayment. 2m malaria indicator survey started, lasts until Sep. 1.5m ACTs expected in E2/2016. </w:t>
            </w:r>
            <w:r w:rsidR="00BD798F">
              <w:t xml:space="preserve">4m earmarked for bed net distribution. </w:t>
            </w:r>
            <w:r w:rsidR="00E8761A">
              <w:t>NMCP requested to have a close eye on absorption</w:t>
            </w:r>
            <w:r w:rsidR="0022016A">
              <w:t xml:space="preserve"> in Q1/2016</w:t>
            </w:r>
            <w:r w:rsidR="00E8761A">
              <w:t>.</w:t>
            </w:r>
            <w:r w:rsidR="00BD798F">
              <w:t xml:space="preserve"> </w:t>
            </w:r>
          </w:p>
        </w:tc>
      </w:tr>
    </w:tbl>
    <w:p w:rsidR="008B313D" w:rsidRPr="007D6E1C" w:rsidRDefault="008B313D" w:rsidP="00671CBC">
      <w:pPr>
        <w:pStyle w:val="ListParagraph"/>
        <w:numPr>
          <w:ilvl w:val="0"/>
          <w:numId w:val="6"/>
        </w:numPr>
        <w:spacing w:before="360" w:after="120"/>
        <w:ind w:left="357" w:hanging="357"/>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5"/>
        <w:gridCol w:w="2654"/>
        <w:gridCol w:w="5716"/>
      </w:tblGrid>
      <w:tr w:rsidR="00371F42" w:rsidTr="00A87873">
        <w:tc>
          <w:tcPr>
            <w:tcW w:w="1055" w:type="dxa"/>
          </w:tcPr>
          <w:p w:rsidR="00371F42" w:rsidRDefault="00371F42" w:rsidP="00B8440B">
            <w:pPr>
              <w:pStyle w:val="ListParagraph"/>
              <w:spacing w:before="120"/>
              <w:ind w:left="0"/>
              <w:contextualSpacing w:val="0"/>
              <w:jc w:val="both"/>
              <w:rPr>
                <w:b/>
              </w:rPr>
            </w:pPr>
            <w:r>
              <w:rPr>
                <w:b/>
              </w:rPr>
              <w:t>Indicator</w:t>
            </w:r>
          </w:p>
        </w:tc>
        <w:tc>
          <w:tcPr>
            <w:tcW w:w="2654" w:type="dxa"/>
          </w:tcPr>
          <w:p w:rsidR="00371F42" w:rsidRDefault="00371F42" w:rsidP="00B8440B">
            <w:pPr>
              <w:pStyle w:val="ListParagraph"/>
              <w:spacing w:before="120"/>
              <w:ind w:left="0"/>
              <w:contextualSpacing w:val="0"/>
              <w:jc w:val="both"/>
              <w:rPr>
                <w:b/>
              </w:rPr>
            </w:pPr>
            <w:r>
              <w:rPr>
                <w:b/>
              </w:rPr>
              <w:t xml:space="preserve">Observation  </w:t>
            </w:r>
          </w:p>
        </w:tc>
        <w:tc>
          <w:tcPr>
            <w:tcW w:w="5716" w:type="dxa"/>
          </w:tcPr>
          <w:p w:rsidR="00371F42" w:rsidRDefault="00371F42" w:rsidP="00B8440B">
            <w:pPr>
              <w:pStyle w:val="ListParagraph"/>
              <w:spacing w:before="120"/>
              <w:ind w:left="0"/>
              <w:contextualSpacing w:val="0"/>
              <w:jc w:val="both"/>
              <w:rPr>
                <w:b/>
              </w:rPr>
            </w:pPr>
            <w:r>
              <w:rPr>
                <w:b/>
              </w:rPr>
              <w:t xml:space="preserve">Answer / Decision </w:t>
            </w:r>
          </w:p>
        </w:tc>
      </w:tr>
      <w:tr w:rsidR="00371F42" w:rsidTr="00A87873">
        <w:tc>
          <w:tcPr>
            <w:tcW w:w="1055" w:type="dxa"/>
          </w:tcPr>
          <w:p w:rsidR="00371F42" w:rsidRDefault="00371F42" w:rsidP="00B8440B">
            <w:pPr>
              <w:pStyle w:val="ListParagraph"/>
              <w:spacing w:before="120"/>
              <w:ind w:left="0"/>
              <w:contextualSpacing w:val="0"/>
              <w:jc w:val="both"/>
              <w:rPr>
                <w:b/>
              </w:rPr>
            </w:pPr>
            <w:r>
              <w:rPr>
                <w:b/>
              </w:rPr>
              <w:t>M2</w:t>
            </w:r>
          </w:p>
        </w:tc>
        <w:tc>
          <w:tcPr>
            <w:tcW w:w="2654" w:type="dxa"/>
          </w:tcPr>
          <w:p w:rsidR="00371F42" w:rsidRPr="008230EB" w:rsidRDefault="00E8761A" w:rsidP="009261B7">
            <w:pPr>
              <w:pStyle w:val="ListParagraph"/>
              <w:spacing w:before="120"/>
              <w:ind w:left="0"/>
              <w:contextualSpacing w:val="0"/>
            </w:pPr>
            <w:r>
              <w:t>1</w:t>
            </w:r>
            <w:r w:rsidR="008230EB">
              <w:t>PMU still vacant. Which?</w:t>
            </w:r>
          </w:p>
        </w:tc>
        <w:tc>
          <w:tcPr>
            <w:tcW w:w="5716" w:type="dxa"/>
          </w:tcPr>
          <w:p w:rsidR="00371F42" w:rsidRPr="008230EB" w:rsidRDefault="00906F33" w:rsidP="009261B7">
            <w:pPr>
              <w:pStyle w:val="ListParagraph"/>
              <w:spacing w:before="120"/>
              <w:ind w:left="0"/>
              <w:contextualSpacing w:val="0"/>
            </w:pPr>
            <w:r>
              <w:t xml:space="preserve">NMCP requested to provide an answer. </w:t>
            </w:r>
          </w:p>
        </w:tc>
      </w:tr>
      <w:tr w:rsidR="00371F42" w:rsidTr="00A87873">
        <w:tc>
          <w:tcPr>
            <w:tcW w:w="1055" w:type="dxa"/>
          </w:tcPr>
          <w:p w:rsidR="00371F42" w:rsidRDefault="00371F42" w:rsidP="00B8440B">
            <w:pPr>
              <w:pStyle w:val="ListParagraph"/>
              <w:spacing w:before="120"/>
              <w:ind w:left="0"/>
              <w:contextualSpacing w:val="0"/>
              <w:jc w:val="both"/>
              <w:rPr>
                <w:b/>
              </w:rPr>
            </w:pPr>
            <w:r>
              <w:rPr>
                <w:b/>
              </w:rPr>
              <w:t>M3</w:t>
            </w:r>
          </w:p>
        </w:tc>
        <w:tc>
          <w:tcPr>
            <w:tcW w:w="2654" w:type="dxa"/>
          </w:tcPr>
          <w:p w:rsidR="00371F42" w:rsidRPr="008230EB" w:rsidRDefault="00E8761A" w:rsidP="009261B7">
            <w:pPr>
              <w:pStyle w:val="ListParagraph"/>
              <w:spacing w:before="120"/>
              <w:ind w:left="0"/>
              <w:contextualSpacing w:val="0"/>
            </w:pPr>
            <w:r>
              <w:t>First experiences re impact of 61 contracted NGOs?</w:t>
            </w:r>
          </w:p>
        </w:tc>
        <w:tc>
          <w:tcPr>
            <w:tcW w:w="5716" w:type="dxa"/>
          </w:tcPr>
          <w:p w:rsidR="00371F42" w:rsidRPr="008230EB" w:rsidRDefault="00E8761A" w:rsidP="009261B7">
            <w:pPr>
              <w:pStyle w:val="ListParagraph"/>
              <w:spacing w:before="120"/>
              <w:ind w:left="0"/>
              <w:contextualSpacing w:val="0"/>
            </w:pPr>
            <w:r>
              <w:t xml:space="preserve">Funding of NGOs across November 2015 (for 6 months period). Monitoring has started. Results will be available in March. </w:t>
            </w:r>
          </w:p>
        </w:tc>
      </w:tr>
      <w:tr w:rsidR="00371F42" w:rsidTr="00A87873">
        <w:tc>
          <w:tcPr>
            <w:tcW w:w="1055" w:type="dxa"/>
          </w:tcPr>
          <w:p w:rsidR="00371F42" w:rsidRDefault="00371F42" w:rsidP="00B8440B">
            <w:pPr>
              <w:pStyle w:val="ListParagraph"/>
              <w:spacing w:before="120"/>
              <w:ind w:left="0"/>
              <w:contextualSpacing w:val="0"/>
              <w:jc w:val="both"/>
              <w:rPr>
                <w:b/>
              </w:rPr>
            </w:pPr>
            <w:r>
              <w:rPr>
                <w:b/>
              </w:rPr>
              <w:t>M5</w:t>
            </w:r>
          </w:p>
        </w:tc>
        <w:tc>
          <w:tcPr>
            <w:tcW w:w="2654" w:type="dxa"/>
          </w:tcPr>
          <w:p w:rsidR="00371F42" w:rsidRPr="008230EB" w:rsidRDefault="00371F42" w:rsidP="009261B7">
            <w:pPr>
              <w:pStyle w:val="ListParagraph"/>
              <w:spacing w:before="120"/>
              <w:ind w:left="0"/>
              <w:contextualSpacing w:val="0"/>
            </w:pPr>
          </w:p>
        </w:tc>
        <w:tc>
          <w:tcPr>
            <w:tcW w:w="5716" w:type="dxa"/>
          </w:tcPr>
          <w:p w:rsidR="00371F42" w:rsidRPr="008230EB" w:rsidRDefault="009261B7" w:rsidP="009261B7">
            <w:pPr>
              <w:pStyle w:val="ListParagraph"/>
              <w:spacing w:before="120"/>
              <w:ind w:left="0"/>
              <w:contextualSpacing w:val="0"/>
            </w:pPr>
            <w:r>
              <w:t>NMCP requested to resend dashboard including obligations</w:t>
            </w:r>
            <w:r w:rsidR="005C3FF3">
              <w:t xml:space="preserve"> </w:t>
            </w:r>
            <w:r w:rsidR="00E8761A">
              <w:t xml:space="preserve">VPP + local procurement of health products (e.g. SPs) </w:t>
            </w:r>
            <w:r w:rsidR="005C3FF3">
              <w:t>by 1</w:t>
            </w:r>
            <w:r w:rsidR="005C3FF3" w:rsidRPr="005C3FF3">
              <w:rPr>
                <w:vertAlign w:val="superscript"/>
              </w:rPr>
              <w:t>st</w:t>
            </w:r>
            <w:r w:rsidR="005C3FF3">
              <w:t xml:space="preserve"> </w:t>
            </w:r>
            <w:r w:rsidR="00E8761A">
              <w:t>March</w:t>
            </w:r>
          </w:p>
        </w:tc>
      </w:tr>
      <w:tr w:rsidR="00371F42" w:rsidTr="00A87873">
        <w:tc>
          <w:tcPr>
            <w:tcW w:w="1055" w:type="dxa"/>
          </w:tcPr>
          <w:p w:rsidR="00371F42" w:rsidRDefault="00371F42" w:rsidP="00B8440B">
            <w:pPr>
              <w:pStyle w:val="ListParagraph"/>
              <w:spacing w:before="120"/>
              <w:ind w:left="0"/>
              <w:contextualSpacing w:val="0"/>
              <w:jc w:val="both"/>
              <w:rPr>
                <w:b/>
              </w:rPr>
            </w:pPr>
            <w:r>
              <w:rPr>
                <w:b/>
              </w:rPr>
              <w:t>M6</w:t>
            </w:r>
          </w:p>
        </w:tc>
        <w:tc>
          <w:tcPr>
            <w:tcW w:w="2654" w:type="dxa"/>
          </w:tcPr>
          <w:p w:rsidR="00371F42" w:rsidRPr="008230EB" w:rsidRDefault="009261B7" w:rsidP="009261B7">
            <w:pPr>
              <w:pStyle w:val="ListParagraph"/>
              <w:spacing w:before="120"/>
              <w:ind w:left="0"/>
              <w:contextualSpacing w:val="0"/>
            </w:pPr>
            <w:r>
              <w:t>Stock report Jan 2016</w:t>
            </w:r>
          </w:p>
        </w:tc>
        <w:tc>
          <w:tcPr>
            <w:tcW w:w="5716" w:type="dxa"/>
          </w:tcPr>
          <w:p w:rsidR="00371F42" w:rsidRDefault="009261B7" w:rsidP="0035690A">
            <w:pPr>
              <w:pStyle w:val="ListParagraph"/>
              <w:spacing w:before="120"/>
              <w:ind w:left="0"/>
              <w:contextualSpacing w:val="0"/>
            </w:pPr>
            <w:r>
              <w:t>Most stock levels are adequate</w:t>
            </w:r>
            <w:r w:rsidR="0035690A">
              <w:t xml:space="preserve"> (certain age bands are compensated by others)</w:t>
            </w:r>
            <w:r>
              <w:t xml:space="preserve">. One item </w:t>
            </w:r>
            <w:r w:rsidR="00E8761A" w:rsidRPr="00E8761A">
              <w:rPr>
                <w:highlight w:val="yellow"/>
              </w:rPr>
              <w:t>(WHICH?)</w:t>
            </w:r>
            <w:r w:rsidR="00E8761A">
              <w:t xml:space="preserve"> </w:t>
            </w:r>
            <w:r>
              <w:t xml:space="preserve">about to expire. Consumption of ACTs has plummeted by 35% (estimation!) due to increased testing. </w:t>
            </w:r>
            <w:r w:rsidR="0035690A">
              <w:t xml:space="preserve">Subsequent shipments postponed. </w:t>
            </w:r>
            <w:r w:rsidR="00906F33">
              <w:t xml:space="preserve">Will affect fund absorption. </w:t>
            </w:r>
            <w:r w:rsidR="0035690A">
              <w:t xml:space="preserve">Savings due to reduced ACT consumption. Apparently plan how to use the savings but NMCP reps not informed about details. </w:t>
            </w:r>
          </w:p>
          <w:p w:rsidR="0035690A" w:rsidRDefault="0035690A" w:rsidP="0035690A">
            <w:pPr>
              <w:pStyle w:val="ListParagraph"/>
              <w:spacing w:before="120"/>
              <w:ind w:left="0"/>
              <w:contextualSpacing w:val="0"/>
            </w:pPr>
            <w:r>
              <w:t xml:space="preserve">Very low RDT stock levels. 3m arrived in Feb. Will be distributed using </w:t>
            </w:r>
            <w:r w:rsidR="00906F33">
              <w:t>NMCP</w:t>
            </w:r>
            <w:r>
              <w:t xml:space="preserve"> resources by mid-March. </w:t>
            </w:r>
          </w:p>
          <w:p w:rsidR="0035690A" w:rsidRPr="008230EB" w:rsidRDefault="0035690A" w:rsidP="0035690A">
            <w:pPr>
              <w:pStyle w:val="ListParagraph"/>
              <w:spacing w:before="120"/>
              <w:ind w:left="0"/>
              <w:contextualSpacing w:val="0"/>
            </w:pPr>
            <w:r>
              <w:t>Low stock levels of SP. Delivery by supplier has not been consistent</w:t>
            </w:r>
            <w:r w:rsidR="008812E8">
              <w:t xml:space="preserve"> and not according to schedule</w:t>
            </w:r>
            <w:r>
              <w:t>. Every delivery is always fully forwarded to RMS. PMI scheduled in March/April (9m tablets, average monthly consumption = 500,000)</w:t>
            </w:r>
            <w:r w:rsidR="008812E8">
              <w:t>. Facilities supposed to have adequate SP stock according to NMCP</w:t>
            </w:r>
          </w:p>
        </w:tc>
      </w:tr>
    </w:tbl>
    <w:p w:rsidR="006123B1" w:rsidRPr="007D6E1C" w:rsidRDefault="006123B1" w:rsidP="00671CBC">
      <w:pPr>
        <w:pStyle w:val="ListParagraph"/>
        <w:numPr>
          <w:ilvl w:val="0"/>
          <w:numId w:val="6"/>
        </w:numPr>
        <w:spacing w:before="360" w:after="120"/>
        <w:ind w:left="357" w:hanging="357"/>
        <w:jc w:val="both"/>
        <w:rPr>
          <w:b/>
        </w:rPr>
      </w:pPr>
      <w:r w:rsidRPr="007D6E1C">
        <w:rPr>
          <w:b/>
        </w:rPr>
        <w:lastRenderedPageBreak/>
        <w:t>Programmatic Indicators:</w:t>
      </w:r>
    </w:p>
    <w:tbl>
      <w:tblPr>
        <w:tblStyle w:val="TableGrid"/>
        <w:tblW w:w="0" w:type="auto"/>
        <w:tblInd w:w="357" w:type="dxa"/>
        <w:tblLook w:val="04A0" w:firstRow="1" w:lastRow="0" w:firstColumn="1" w:lastColumn="0" w:noHBand="0" w:noVBand="1"/>
      </w:tblPr>
      <w:tblGrid>
        <w:gridCol w:w="1056"/>
        <w:gridCol w:w="2656"/>
        <w:gridCol w:w="5713"/>
      </w:tblGrid>
      <w:tr w:rsidR="008657B7" w:rsidTr="008657B7">
        <w:tc>
          <w:tcPr>
            <w:tcW w:w="1056" w:type="dxa"/>
          </w:tcPr>
          <w:p w:rsidR="008657B7" w:rsidRDefault="008657B7" w:rsidP="00B8440B">
            <w:pPr>
              <w:pStyle w:val="ListParagraph"/>
              <w:spacing w:before="120"/>
              <w:ind w:left="0"/>
              <w:contextualSpacing w:val="0"/>
              <w:jc w:val="both"/>
              <w:rPr>
                <w:b/>
              </w:rPr>
            </w:pPr>
            <w:r>
              <w:rPr>
                <w:b/>
              </w:rPr>
              <w:t>Indicator</w:t>
            </w:r>
          </w:p>
        </w:tc>
        <w:tc>
          <w:tcPr>
            <w:tcW w:w="2656" w:type="dxa"/>
          </w:tcPr>
          <w:p w:rsidR="008657B7" w:rsidRDefault="008657B7" w:rsidP="00B8440B">
            <w:pPr>
              <w:pStyle w:val="ListParagraph"/>
              <w:spacing w:before="120"/>
              <w:ind w:left="0"/>
              <w:contextualSpacing w:val="0"/>
              <w:jc w:val="both"/>
              <w:rPr>
                <w:b/>
              </w:rPr>
            </w:pPr>
            <w:r>
              <w:rPr>
                <w:b/>
              </w:rPr>
              <w:t xml:space="preserve">Observation  </w:t>
            </w:r>
          </w:p>
        </w:tc>
        <w:tc>
          <w:tcPr>
            <w:tcW w:w="5713" w:type="dxa"/>
          </w:tcPr>
          <w:p w:rsidR="008657B7" w:rsidRDefault="008657B7" w:rsidP="00B8440B">
            <w:pPr>
              <w:pStyle w:val="ListParagraph"/>
              <w:spacing w:before="120"/>
              <w:ind w:left="0"/>
              <w:contextualSpacing w:val="0"/>
              <w:jc w:val="both"/>
              <w:rPr>
                <w:b/>
              </w:rPr>
            </w:pPr>
            <w:r>
              <w:rPr>
                <w:b/>
              </w:rPr>
              <w:t xml:space="preserve">Answer / Decision </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Pr1</w:t>
            </w:r>
          </w:p>
        </w:tc>
        <w:tc>
          <w:tcPr>
            <w:tcW w:w="2656" w:type="dxa"/>
          </w:tcPr>
          <w:p w:rsidR="008657B7" w:rsidRPr="00FE25D7" w:rsidRDefault="008657B7" w:rsidP="00FE25D7">
            <w:pPr>
              <w:pStyle w:val="ListParagraph"/>
              <w:spacing w:before="120"/>
              <w:ind w:left="0"/>
              <w:contextualSpacing w:val="0"/>
            </w:pPr>
          </w:p>
        </w:tc>
        <w:tc>
          <w:tcPr>
            <w:tcW w:w="5713" w:type="dxa"/>
          </w:tcPr>
          <w:p w:rsidR="008657B7" w:rsidRPr="00FE25D7" w:rsidRDefault="00FE25D7" w:rsidP="00FE25D7">
            <w:pPr>
              <w:pStyle w:val="ListParagraph"/>
              <w:spacing w:before="120"/>
              <w:ind w:left="0"/>
              <w:contextualSpacing w:val="0"/>
            </w:pPr>
            <w:r w:rsidRPr="00FE25D7">
              <w:t xml:space="preserve">No decision made </w:t>
            </w:r>
            <w:r>
              <w:t>regarding modification of indicator</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Pr2</w:t>
            </w:r>
          </w:p>
        </w:tc>
        <w:tc>
          <w:tcPr>
            <w:tcW w:w="2656" w:type="dxa"/>
          </w:tcPr>
          <w:p w:rsidR="008657B7" w:rsidRPr="00FE25D7" w:rsidRDefault="00956F69" w:rsidP="00FE25D7">
            <w:pPr>
              <w:pStyle w:val="ListParagraph"/>
              <w:spacing w:before="120"/>
              <w:ind w:left="0"/>
              <w:contextualSpacing w:val="0"/>
            </w:pPr>
            <w:r>
              <w:t xml:space="preserve">P3: 51% vs P4: 41% </w:t>
            </w:r>
          </w:p>
        </w:tc>
        <w:tc>
          <w:tcPr>
            <w:tcW w:w="5713" w:type="dxa"/>
          </w:tcPr>
          <w:p w:rsidR="008657B7" w:rsidRPr="00FE25D7" w:rsidRDefault="00956F69" w:rsidP="00FE25D7">
            <w:pPr>
              <w:pStyle w:val="ListParagraph"/>
              <w:spacing w:before="120"/>
              <w:ind w:left="0"/>
              <w:contextualSpacing w:val="0"/>
            </w:pPr>
            <w:r>
              <w:t xml:space="preserve">No explanation </w:t>
            </w:r>
            <w:r w:rsidR="00906F33">
              <w:t xml:space="preserve">on the drop after several periods of consistent increase </w:t>
            </w:r>
            <w:r>
              <w:t xml:space="preserve">provided by NMCP. </w:t>
            </w:r>
            <w:r w:rsidR="00D76D88">
              <w:t>Will be provided during CCM meeting</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Pr3</w:t>
            </w:r>
          </w:p>
        </w:tc>
        <w:tc>
          <w:tcPr>
            <w:tcW w:w="2656" w:type="dxa"/>
          </w:tcPr>
          <w:p w:rsidR="008657B7" w:rsidRPr="00FE25D7" w:rsidRDefault="00D76D88" w:rsidP="00FE25D7">
            <w:pPr>
              <w:pStyle w:val="ListParagraph"/>
              <w:spacing w:before="120"/>
              <w:ind w:left="0"/>
              <w:contextualSpacing w:val="0"/>
            </w:pPr>
            <w:r>
              <w:t>87% achievement, 5.6m nets expected by Keziah in Sep/Oct2015</w:t>
            </w:r>
            <w:r w:rsidR="00A87873">
              <w:t>, which is less than the actual result</w:t>
            </w:r>
          </w:p>
        </w:tc>
        <w:tc>
          <w:tcPr>
            <w:tcW w:w="5713" w:type="dxa"/>
          </w:tcPr>
          <w:p w:rsidR="008657B7" w:rsidRPr="00FE25D7" w:rsidRDefault="00D76D88" w:rsidP="00FE25D7">
            <w:pPr>
              <w:pStyle w:val="ListParagraph"/>
              <w:spacing w:before="120"/>
              <w:ind w:left="0"/>
              <w:contextualSpacing w:val="0"/>
            </w:pPr>
            <w:r>
              <w:t>Not enough nets available to fully cover outstanding region</w:t>
            </w:r>
          </w:p>
        </w:tc>
      </w:tr>
      <w:tr w:rsidR="008657B7" w:rsidTr="008657B7">
        <w:tc>
          <w:tcPr>
            <w:tcW w:w="1056" w:type="dxa"/>
          </w:tcPr>
          <w:p w:rsidR="008657B7" w:rsidRDefault="008657B7" w:rsidP="00B8440B">
            <w:pPr>
              <w:pStyle w:val="ListParagraph"/>
              <w:spacing w:before="120"/>
              <w:ind w:left="0"/>
              <w:contextualSpacing w:val="0"/>
              <w:jc w:val="both"/>
              <w:rPr>
                <w:b/>
              </w:rPr>
            </w:pPr>
            <w:r>
              <w:rPr>
                <w:b/>
              </w:rPr>
              <w:t>Pr7</w:t>
            </w:r>
          </w:p>
        </w:tc>
        <w:tc>
          <w:tcPr>
            <w:tcW w:w="2656" w:type="dxa"/>
          </w:tcPr>
          <w:p w:rsidR="008657B7" w:rsidRPr="00FE25D7" w:rsidRDefault="008657B7" w:rsidP="00FE25D7">
            <w:pPr>
              <w:pStyle w:val="ListParagraph"/>
              <w:spacing w:before="120"/>
              <w:ind w:left="0"/>
              <w:contextualSpacing w:val="0"/>
            </w:pPr>
          </w:p>
        </w:tc>
        <w:tc>
          <w:tcPr>
            <w:tcW w:w="5713" w:type="dxa"/>
          </w:tcPr>
          <w:p w:rsidR="008657B7" w:rsidRPr="00FE25D7" w:rsidRDefault="00D76D88" w:rsidP="00FE25D7">
            <w:pPr>
              <w:pStyle w:val="ListParagraph"/>
              <w:spacing w:before="120"/>
              <w:ind w:left="0"/>
              <w:contextualSpacing w:val="0"/>
            </w:pPr>
            <w:r>
              <w:t>Indicator was dropped</w:t>
            </w:r>
          </w:p>
        </w:tc>
      </w:tr>
    </w:tbl>
    <w:p w:rsidR="008260F3" w:rsidRDefault="008260F3" w:rsidP="00671CBC">
      <w:pPr>
        <w:pStyle w:val="ListParagraph"/>
        <w:numPr>
          <w:ilvl w:val="0"/>
          <w:numId w:val="6"/>
        </w:numPr>
        <w:spacing w:before="360" w:after="120"/>
        <w:ind w:left="357" w:hanging="357"/>
        <w:jc w:val="both"/>
        <w:rPr>
          <w:b/>
        </w:rPr>
      </w:pPr>
      <w:r>
        <w:rPr>
          <w:b/>
        </w:rPr>
        <w:t xml:space="preserve">Recommendations </w:t>
      </w:r>
      <w:r w:rsidR="00906F33">
        <w:rPr>
          <w:b/>
        </w:rPr>
        <w:t>to NMCP</w:t>
      </w:r>
    </w:p>
    <w:p w:rsidR="008260F3" w:rsidRPr="005C3FF3" w:rsidRDefault="00476E43" w:rsidP="005C3FF3">
      <w:pPr>
        <w:pStyle w:val="ListParagraph"/>
        <w:numPr>
          <w:ilvl w:val="0"/>
          <w:numId w:val="7"/>
        </w:numPr>
        <w:jc w:val="both"/>
      </w:pPr>
      <w:r w:rsidRPr="005C3FF3">
        <w:t xml:space="preserve">Have a close eye on </w:t>
      </w:r>
      <w:r w:rsidR="005C3FF3" w:rsidRPr="005C3FF3">
        <w:t>Q1 expenditures</w:t>
      </w:r>
      <w:r w:rsidR="003C1350">
        <w:t xml:space="preserve"> (22m)</w:t>
      </w:r>
    </w:p>
    <w:p w:rsidR="005C3FF3" w:rsidRDefault="005C3FF3" w:rsidP="005C3FF3">
      <w:pPr>
        <w:pStyle w:val="ListParagraph"/>
        <w:numPr>
          <w:ilvl w:val="0"/>
          <w:numId w:val="7"/>
        </w:numPr>
        <w:jc w:val="both"/>
      </w:pPr>
      <w:r w:rsidRPr="005C3FF3">
        <w:t>Provide an explanation on drop re IPT</w:t>
      </w:r>
    </w:p>
    <w:p w:rsidR="005C3FF3" w:rsidRDefault="005C3FF3" w:rsidP="005C3FF3">
      <w:pPr>
        <w:pStyle w:val="ListParagraph"/>
        <w:numPr>
          <w:ilvl w:val="0"/>
          <w:numId w:val="7"/>
        </w:numPr>
        <w:jc w:val="both"/>
      </w:pPr>
      <w:r>
        <w:t>Accelerate RDT delivery to the regions</w:t>
      </w:r>
    </w:p>
    <w:p w:rsidR="0022016A" w:rsidRDefault="00906F33" w:rsidP="00BD5499">
      <w:pPr>
        <w:pStyle w:val="ListParagraph"/>
        <w:numPr>
          <w:ilvl w:val="0"/>
          <w:numId w:val="7"/>
        </w:numPr>
        <w:ind w:left="360"/>
        <w:jc w:val="both"/>
      </w:pPr>
      <w:r>
        <w:t>Provide information on suggested use of savings</w:t>
      </w:r>
    </w:p>
    <w:p w:rsidR="005C3FF3" w:rsidRPr="005C3FF3" w:rsidRDefault="0022016A" w:rsidP="00BD5499">
      <w:pPr>
        <w:pStyle w:val="ListParagraph"/>
        <w:numPr>
          <w:ilvl w:val="0"/>
          <w:numId w:val="7"/>
        </w:numPr>
        <w:ind w:left="360"/>
        <w:jc w:val="both"/>
      </w:pPr>
      <w:r>
        <w:t>Be better prepared next OC meeting</w:t>
      </w:r>
    </w:p>
    <w:p w:rsidR="008260F3" w:rsidRDefault="008260F3" w:rsidP="008260F3">
      <w:pPr>
        <w:pStyle w:val="ListParagraph"/>
        <w:ind w:left="360"/>
        <w:jc w:val="both"/>
        <w:rPr>
          <w:b/>
        </w:rPr>
      </w:pPr>
    </w:p>
    <w:p w:rsidR="007D6E1C" w:rsidRPr="00962157" w:rsidRDefault="00962157" w:rsidP="00962157">
      <w:pPr>
        <w:pStyle w:val="ListParagraph"/>
        <w:numPr>
          <w:ilvl w:val="0"/>
          <w:numId w:val="1"/>
        </w:numPr>
        <w:spacing w:before="240"/>
        <w:ind w:left="357" w:hanging="357"/>
        <w:contextualSpacing w:val="0"/>
        <w:jc w:val="both"/>
        <w:rPr>
          <w:b/>
          <w:sz w:val="24"/>
          <w:szCs w:val="24"/>
        </w:rPr>
      </w:pPr>
      <w:r>
        <w:rPr>
          <w:b/>
          <w:sz w:val="24"/>
          <w:szCs w:val="24"/>
        </w:rPr>
        <w:t>Closing</w:t>
      </w:r>
    </w:p>
    <w:p w:rsidR="007D00A0" w:rsidRDefault="007D6E1C" w:rsidP="007D6E1C">
      <w:pPr>
        <w:jc w:val="both"/>
      </w:pPr>
      <w:r>
        <w:t xml:space="preserve">The meeting came to a close at about </w:t>
      </w:r>
      <w:r w:rsidR="00A66811">
        <w:t>13:45.</w:t>
      </w:r>
    </w:p>
    <w:sectPr w:rsidR="007D00A0" w:rsidSect="007D6E1C">
      <w:headerReference w:type="even" r:id="rId13"/>
      <w:headerReference w:type="default" r:id="rId14"/>
      <w:footerReference w:type="even" r:id="rId15"/>
      <w:footerReference w:type="default" r:id="rId16"/>
      <w:headerReference w:type="first" r:id="rId17"/>
      <w:footerReference w:type="first" r:id="rId18"/>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5AD" w:rsidRDefault="009E15AD" w:rsidP="00C72108">
      <w:pPr>
        <w:spacing w:after="0" w:line="240" w:lineRule="auto"/>
      </w:pPr>
      <w:r>
        <w:separator/>
      </w:r>
    </w:p>
  </w:endnote>
  <w:endnote w:type="continuationSeparator" w:id="0">
    <w:p w:rsidR="009E15AD" w:rsidRDefault="009E15AD" w:rsidP="00C7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0035"/>
      <w:docPartObj>
        <w:docPartGallery w:val="Page Numbers (Bottom of Page)"/>
        <w:docPartUnique/>
      </w:docPartObj>
    </w:sdtPr>
    <w:sdtEndPr/>
    <w:sdtContent>
      <w:p w:rsidR="00C72108" w:rsidRDefault="00C72108">
        <w:pPr>
          <w:pStyle w:val="Footer"/>
          <w:jc w:val="right"/>
        </w:pPr>
        <w:r>
          <w:t xml:space="preserve">Page | </w:t>
        </w:r>
        <w:r>
          <w:fldChar w:fldCharType="begin"/>
        </w:r>
        <w:r>
          <w:instrText xml:space="preserve"> PAGE   \* MERGEFORMAT </w:instrText>
        </w:r>
        <w:r>
          <w:fldChar w:fldCharType="separate"/>
        </w:r>
        <w:r w:rsidR="00A87873">
          <w:rPr>
            <w:noProof/>
          </w:rPr>
          <w:t>2</w:t>
        </w:r>
        <w:r>
          <w:rPr>
            <w:noProof/>
          </w:rPr>
          <w:fldChar w:fldCharType="end"/>
        </w:r>
        <w:r>
          <w:t xml:space="preserve"> </w:t>
        </w:r>
      </w:p>
    </w:sdtContent>
  </w:sdt>
  <w:p w:rsidR="00C72108" w:rsidRDefault="00C72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5AD" w:rsidRDefault="009E15AD" w:rsidP="00C72108">
      <w:pPr>
        <w:spacing w:after="0" w:line="240" w:lineRule="auto"/>
      </w:pPr>
      <w:r>
        <w:separator/>
      </w:r>
    </w:p>
  </w:footnote>
  <w:footnote w:type="continuationSeparator" w:id="0">
    <w:p w:rsidR="009E15AD" w:rsidRDefault="009E15AD" w:rsidP="00C7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8519C"/>
    <w:multiLevelType w:val="hybridMultilevel"/>
    <w:tmpl w:val="0570E1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A43127"/>
    <w:multiLevelType w:val="hybridMultilevel"/>
    <w:tmpl w:val="C1E4CF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613D87"/>
    <w:multiLevelType w:val="hybridMultilevel"/>
    <w:tmpl w:val="4F3ABD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2B7AB0"/>
    <w:multiLevelType w:val="hybridMultilevel"/>
    <w:tmpl w:val="0632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3D10DE"/>
    <w:multiLevelType w:val="hybridMultilevel"/>
    <w:tmpl w:val="825CA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47"/>
    <w:rsid w:val="00001A29"/>
    <w:rsid w:val="00084F2F"/>
    <w:rsid w:val="000A7353"/>
    <w:rsid w:val="00105A2F"/>
    <w:rsid w:val="00136225"/>
    <w:rsid w:val="00146156"/>
    <w:rsid w:val="001A7D1D"/>
    <w:rsid w:val="0022016A"/>
    <w:rsid w:val="002240F4"/>
    <w:rsid w:val="0022688F"/>
    <w:rsid w:val="00226A83"/>
    <w:rsid w:val="002611FF"/>
    <w:rsid w:val="00286C3E"/>
    <w:rsid w:val="00290453"/>
    <w:rsid w:val="002B48B1"/>
    <w:rsid w:val="0035690A"/>
    <w:rsid w:val="003617E6"/>
    <w:rsid w:val="00365A73"/>
    <w:rsid w:val="00371F42"/>
    <w:rsid w:val="00380223"/>
    <w:rsid w:val="003C1350"/>
    <w:rsid w:val="00407BA1"/>
    <w:rsid w:val="00476E43"/>
    <w:rsid w:val="004E3FAA"/>
    <w:rsid w:val="005006CE"/>
    <w:rsid w:val="00500D63"/>
    <w:rsid w:val="00530434"/>
    <w:rsid w:val="005C3FF3"/>
    <w:rsid w:val="006055FD"/>
    <w:rsid w:val="006123B1"/>
    <w:rsid w:val="00641E91"/>
    <w:rsid w:val="00662E2A"/>
    <w:rsid w:val="00671CBC"/>
    <w:rsid w:val="00696B47"/>
    <w:rsid w:val="006D30A3"/>
    <w:rsid w:val="006F2E0A"/>
    <w:rsid w:val="006F3793"/>
    <w:rsid w:val="0074463B"/>
    <w:rsid w:val="007A5A0B"/>
    <w:rsid w:val="007B772F"/>
    <w:rsid w:val="007D00A0"/>
    <w:rsid w:val="007D6E1C"/>
    <w:rsid w:val="007F6544"/>
    <w:rsid w:val="008230EB"/>
    <w:rsid w:val="008260F3"/>
    <w:rsid w:val="008657B7"/>
    <w:rsid w:val="008812E8"/>
    <w:rsid w:val="008B313D"/>
    <w:rsid w:val="008C026B"/>
    <w:rsid w:val="008C1794"/>
    <w:rsid w:val="00906F33"/>
    <w:rsid w:val="009261B7"/>
    <w:rsid w:val="00934478"/>
    <w:rsid w:val="00956F69"/>
    <w:rsid w:val="00962157"/>
    <w:rsid w:val="009A2235"/>
    <w:rsid w:val="009C32B5"/>
    <w:rsid w:val="009E15AD"/>
    <w:rsid w:val="009E3DAE"/>
    <w:rsid w:val="009F13F3"/>
    <w:rsid w:val="009F7571"/>
    <w:rsid w:val="00A61F28"/>
    <w:rsid w:val="00A66811"/>
    <w:rsid w:val="00A87873"/>
    <w:rsid w:val="00A90154"/>
    <w:rsid w:val="00AD5877"/>
    <w:rsid w:val="00B66A64"/>
    <w:rsid w:val="00BA3220"/>
    <w:rsid w:val="00BC716F"/>
    <w:rsid w:val="00BD798F"/>
    <w:rsid w:val="00BF25EA"/>
    <w:rsid w:val="00C2011D"/>
    <w:rsid w:val="00C23D27"/>
    <w:rsid w:val="00C34463"/>
    <w:rsid w:val="00C4333C"/>
    <w:rsid w:val="00C72108"/>
    <w:rsid w:val="00C72C08"/>
    <w:rsid w:val="00CD2A14"/>
    <w:rsid w:val="00D023EF"/>
    <w:rsid w:val="00D03362"/>
    <w:rsid w:val="00D61E09"/>
    <w:rsid w:val="00D76D88"/>
    <w:rsid w:val="00E23FA5"/>
    <w:rsid w:val="00E8761A"/>
    <w:rsid w:val="00F13BBA"/>
    <w:rsid w:val="00FD775E"/>
    <w:rsid w:val="00FE25D7"/>
    <w:rsid w:val="00FE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C4AEF-2EBE-435E-BFDD-637E664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108"/>
  </w:style>
  <w:style w:type="paragraph" w:styleId="Footer">
    <w:name w:val="footer"/>
    <w:basedOn w:val="Normal"/>
    <w:link w:val="FooterChar"/>
    <w:uiPriority w:val="99"/>
    <w:unhideWhenUsed/>
    <w:rsid w:val="00C7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108"/>
  </w:style>
  <w:style w:type="paragraph" w:styleId="ListParagraph">
    <w:name w:val="List Paragraph"/>
    <w:basedOn w:val="Normal"/>
    <w:uiPriority w:val="34"/>
    <w:qFormat/>
    <w:rsid w:val="00962157"/>
    <w:pPr>
      <w:ind w:left="720"/>
      <w:contextualSpacing/>
    </w:pPr>
  </w:style>
  <w:style w:type="character" w:styleId="Hyperlink">
    <w:name w:val="Hyperlink"/>
    <w:basedOn w:val="DefaultParagraphFont"/>
    <w:uiPriority w:val="99"/>
    <w:unhideWhenUsed/>
    <w:rsid w:val="002B48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9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eakoutnow.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mghana.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mghana.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peakoutnow.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speakoutnow.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19FA-31CD-4F8B-B58E-4F07B2C5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3</cp:revision>
  <dcterms:created xsi:type="dcterms:W3CDTF">2016-03-05T07:01:00Z</dcterms:created>
  <dcterms:modified xsi:type="dcterms:W3CDTF">2016-03-05T07:07:00Z</dcterms:modified>
</cp:coreProperties>
</file>