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91" w:rsidRPr="00641E91" w:rsidRDefault="00696B47" w:rsidP="00641E91">
      <w:pPr>
        <w:jc w:val="center"/>
        <w:rPr>
          <w:b/>
          <w:sz w:val="28"/>
          <w:szCs w:val="28"/>
        </w:rPr>
      </w:pPr>
      <w:r w:rsidRPr="00641E91">
        <w:rPr>
          <w:b/>
          <w:sz w:val="28"/>
          <w:szCs w:val="28"/>
        </w:rPr>
        <w:t>MINUTES OF MALARIA DASH BOARDS REVIEW MEETING</w:t>
      </w:r>
    </w:p>
    <w:p w:rsidR="00105A2F" w:rsidRPr="00641E91" w:rsidRDefault="0042023E" w:rsidP="00641E91">
      <w:pPr>
        <w:jc w:val="center"/>
        <w:rPr>
          <w:b/>
        </w:rPr>
      </w:pPr>
      <w:r>
        <w:rPr>
          <w:b/>
        </w:rPr>
        <w:t xml:space="preserve"> 26</w:t>
      </w:r>
      <w:r w:rsidRPr="0042023E">
        <w:rPr>
          <w:b/>
          <w:vertAlign w:val="superscript"/>
        </w:rPr>
        <w:t>th</w:t>
      </w:r>
      <w:r>
        <w:rPr>
          <w:b/>
        </w:rPr>
        <w:t xml:space="preserve"> May</w:t>
      </w:r>
      <w:r w:rsidR="00696B47" w:rsidRPr="00641E91">
        <w:rPr>
          <w:b/>
        </w:rPr>
        <w:t>, 201</w:t>
      </w:r>
      <w:r w:rsidR="00A66811">
        <w:rPr>
          <w:b/>
        </w:rPr>
        <w:t>6</w:t>
      </w:r>
      <w:r w:rsidR="00696B47" w:rsidRPr="00641E91">
        <w:rPr>
          <w:b/>
        </w:rPr>
        <w:t xml:space="preserve"> </w:t>
      </w:r>
      <w:r w:rsidR="00641E91">
        <w:rPr>
          <w:b/>
        </w:rPr>
        <w:t xml:space="preserve">at the </w:t>
      </w:r>
      <w:r w:rsidR="00696B47" w:rsidRPr="00641E91">
        <w:rPr>
          <w:b/>
        </w:rPr>
        <w:t>CCM S</w:t>
      </w:r>
      <w:r w:rsidR="00641E91">
        <w:rPr>
          <w:b/>
        </w:rPr>
        <w:t>ecretariat</w:t>
      </w:r>
    </w:p>
    <w:p w:rsidR="00641E91" w:rsidRDefault="00641E91" w:rsidP="007D6E1C">
      <w:pPr>
        <w:jc w:val="both"/>
        <w:rPr>
          <w:b/>
        </w:rPr>
      </w:pPr>
    </w:p>
    <w:p w:rsidR="00696B47" w:rsidRPr="007D6E1C" w:rsidRDefault="00696B47" w:rsidP="007D6E1C">
      <w:pPr>
        <w:jc w:val="both"/>
        <w:rPr>
          <w:b/>
        </w:rPr>
      </w:pPr>
      <w:r w:rsidRPr="007D6E1C">
        <w:rPr>
          <w:b/>
        </w:rPr>
        <w:t>A</w:t>
      </w:r>
      <w:r w:rsidR="00962157">
        <w:rPr>
          <w:b/>
        </w:rPr>
        <w:t>ttendance</w:t>
      </w:r>
      <w:r w:rsidRPr="007D6E1C">
        <w:rPr>
          <w:b/>
        </w:rPr>
        <w:t>:</w:t>
      </w:r>
    </w:p>
    <w:tbl>
      <w:tblPr>
        <w:tblStyle w:val="TableGrid"/>
        <w:tblW w:w="0" w:type="auto"/>
        <w:tblLook w:val="04A0" w:firstRow="1" w:lastRow="0" w:firstColumn="1" w:lastColumn="0" w:noHBand="0" w:noVBand="1"/>
      </w:tblPr>
      <w:tblGrid>
        <w:gridCol w:w="3703"/>
        <w:gridCol w:w="2651"/>
        <w:gridCol w:w="2394"/>
      </w:tblGrid>
      <w:tr w:rsidR="003530D1" w:rsidTr="00A66811">
        <w:tc>
          <w:tcPr>
            <w:tcW w:w="3703" w:type="dxa"/>
          </w:tcPr>
          <w:p w:rsidR="003530D1" w:rsidRPr="007D6E1C" w:rsidRDefault="003530D1" w:rsidP="007D6E1C">
            <w:pPr>
              <w:jc w:val="both"/>
              <w:rPr>
                <w:b/>
              </w:rPr>
            </w:pPr>
            <w:r w:rsidRPr="007D6E1C">
              <w:rPr>
                <w:b/>
              </w:rPr>
              <w:t>Name</w:t>
            </w:r>
          </w:p>
        </w:tc>
        <w:tc>
          <w:tcPr>
            <w:tcW w:w="2651" w:type="dxa"/>
          </w:tcPr>
          <w:p w:rsidR="003530D1" w:rsidRPr="007D6E1C" w:rsidRDefault="003530D1" w:rsidP="007D6E1C">
            <w:pPr>
              <w:jc w:val="both"/>
              <w:rPr>
                <w:b/>
              </w:rPr>
            </w:pPr>
            <w:r w:rsidRPr="007D6E1C">
              <w:rPr>
                <w:b/>
              </w:rPr>
              <w:t>Organization</w:t>
            </w:r>
          </w:p>
        </w:tc>
        <w:tc>
          <w:tcPr>
            <w:tcW w:w="2394" w:type="dxa"/>
          </w:tcPr>
          <w:p w:rsidR="003530D1" w:rsidRPr="007D6E1C" w:rsidRDefault="003530D1" w:rsidP="007D6E1C">
            <w:pPr>
              <w:jc w:val="both"/>
              <w:rPr>
                <w:b/>
              </w:rPr>
            </w:pPr>
            <w:r w:rsidRPr="007D6E1C">
              <w:rPr>
                <w:b/>
              </w:rPr>
              <w:t>Sector</w:t>
            </w:r>
          </w:p>
        </w:tc>
      </w:tr>
      <w:tr w:rsidR="003530D1" w:rsidRPr="0042023E" w:rsidTr="00A66811">
        <w:tc>
          <w:tcPr>
            <w:tcW w:w="3703" w:type="dxa"/>
          </w:tcPr>
          <w:p w:rsidR="003530D1" w:rsidRPr="0042023E" w:rsidRDefault="003530D1" w:rsidP="00641E91">
            <w:pPr>
              <w:jc w:val="both"/>
            </w:pPr>
            <w:r w:rsidRPr="0042023E">
              <w:t>Annekatrin El Oumrany</w:t>
            </w:r>
          </w:p>
        </w:tc>
        <w:tc>
          <w:tcPr>
            <w:tcW w:w="2651" w:type="dxa"/>
          </w:tcPr>
          <w:p w:rsidR="003530D1" w:rsidRPr="0042023E" w:rsidRDefault="003530D1" w:rsidP="00641E91">
            <w:pPr>
              <w:jc w:val="both"/>
            </w:pPr>
            <w:r w:rsidRPr="0042023E">
              <w:t>CCM Secretariat</w:t>
            </w:r>
          </w:p>
        </w:tc>
        <w:tc>
          <w:tcPr>
            <w:tcW w:w="2394" w:type="dxa"/>
          </w:tcPr>
          <w:p w:rsidR="003530D1" w:rsidRPr="0042023E" w:rsidRDefault="003530D1" w:rsidP="00641E91">
            <w:pPr>
              <w:jc w:val="both"/>
            </w:pPr>
            <w:r w:rsidRPr="0042023E">
              <w:t>CCM</w:t>
            </w:r>
          </w:p>
        </w:tc>
      </w:tr>
      <w:tr w:rsidR="0042023E" w:rsidRPr="0042023E" w:rsidTr="00A66811">
        <w:tc>
          <w:tcPr>
            <w:tcW w:w="3703" w:type="dxa"/>
            <w:tcBorders>
              <w:bottom w:val="single" w:sz="4" w:space="0" w:color="auto"/>
            </w:tcBorders>
          </w:tcPr>
          <w:p w:rsidR="0042023E" w:rsidRPr="0042023E" w:rsidRDefault="0042023E" w:rsidP="00B72D6E">
            <w:pPr>
              <w:jc w:val="both"/>
            </w:pPr>
            <w:r w:rsidRPr="0042023E">
              <w:t xml:space="preserve">Faustus </w:t>
            </w:r>
            <w:proofErr w:type="spellStart"/>
            <w:r w:rsidRPr="0042023E">
              <w:t>Dasaah</w:t>
            </w:r>
            <w:proofErr w:type="spellEnd"/>
          </w:p>
        </w:tc>
        <w:tc>
          <w:tcPr>
            <w:tcW w:w="2651" w:type="dxa"/>
            <w:tcBorders>
              <w:bottom w:val="single" w:sz="4" w:space="0" w:color="auto"/>
            </w:tcBorders>
          </w:tcPr>
          <w:p w:rsidR="0042023E" w:rsidRPr="0042023E" w:rsidRDefault="0042023E" w:rsidP="009A295B">
            <w:pPr>
              <w:jc w:val="both"/>
            </w:pPr>
            <w:r w:rsidRPr="0042023E">
              <w:t>CCM Secretariat</w:t>
            </w:r>
          </w:p>
        </w:tc>
        <w:tc>
          <w:tcPr>
            <w:tcW w:w="2394" w:type="dxa"/>
            <w:tcBorders>
              <w:bottom w:val="single" w:sz="4" w:space="0" w:color="auto"/>
            </w:tcBorders>
          </w:tcPr>
          <w:p w:rsidR="0042023E" w:rsidRPr="0042023E" w:rsidRDefault="0042023E" w:rsidP="009A295B">
            <w:pPr>
              <w:jc w:val="both"/>
            </w:pPr>
            <w:r w:rsidRPr="0042023E">
              <w:t>CCM</w:t>
            </w:r>
          </w:p>
        </w:tc>
      </w:tr>
      <w:tr w:rsidR="0042023E" w:rsidRPr="0042023E" w:rsidTr="00A66811">
        <w:tc>
          <w:tcPr>
            <w:tcW w:w="3703" w:type="dxa"/>
            <w:tcBorders>
              <w:bottom w:val="single" w:sz="4" w:space="0" w:color="auto"/>
            </w:tcBorders>
          </w:tcPr>
          <w:p w:rsidR="0042023E" w:rsidRPr="0042023E" w:rsidRDefault="0042023E" w:rsidP="00B72D6E">
            <w:pPr>
              <w:jc w:val="both"/>
            </w:pPr>
            <w:proofErr w:type="spellStart"/>
            <w:r w:rsidRPr="0042023E">
              <w:t>Wahjib</w:t>
            </w:r>
            <w:proofErr w:type="spellEnd"/>
            <w:r w:rsidRPr="0042023E">
              <w:t xml:space="preserve"> Mohamed</w:t>
            </w:r>
          </w:p>
        </w:tc>
        <w:tc>
          <w:tcPr>
            <w:tcW w:w="2651" w:type="dxa"/>
            <w:tcBorders>
              <w:bottom w:val="single" w:sz="4" w:space="0" w:color="auto"/>
            </w:tcBorders>
          </w:tcPr>
          <w:p w:rsidR="0042023E" w:rsidRPr="0042023E" w:rsidRDefault="0042023E" w:rsidP="00B72D6E">
            <w:pPr>
              <w:jc w:val="both"/>
            </w:pPr>
            <w:r w:rsidRPr="0042023E">
              <w:t>NMCP</w:t>
            </w:r>
          </w:p>
        </w:tc>
        <w:tc>
          <w:tcPr>
            <w:tcW w:w="2394" w:type="dxa"/>
            <w:tcBorders>
              <w:bottom w:val="single" w:sz="4" w:space="0" w:color="auto"/>
            </w:tcBorders>
          </w:tcPr>
          <w:p w:rsidR="0042023E" w:rsidRPr="0042023E" w:rsidRDefault="0042023E" w:rsidP="00B72D6E">
            <w:r w:rsidRPr="0042023E">
              <w:t>PR / Government</w:t>
            </w:r>
          </w:p>
        </w:tc>
      </w:tr>
      <w:tr w:rsidR="0042023E" w:rsidRPr="0042023E" w:rsidTr="00A66811">
        <w:tc>
          <w:tcPr>
            <w:tcW w:w="3703" w:type="dxa"/>
            <w:tcBorders>
              <w:bottom w:val="single" w:sz="4" w:space="0" w:color="auto"/>
            </w:tcBorders>
          </w:tcPr>
          <w:p w:rsidR="0042023E" w:rsidRPr="0042023E" w:rsidRDefault="0042023E" w:rsidP="00B72D6E">
            <w:pPr>
              <w:jc w:val="both"/>
            </w:pPr>
            <w:r w:rsidRPr="0042023E">
              <w:t xml:space="preserve">Joel </w:t>
            </w:r>
            <w:proofErr w:type="spellStart"/>
            <w:r w:rsidRPr="0042023E">
              <w:t>Balbaare</w:t>
            </w:r>
            <w:proofErr w:type="spellEnd"/>
          </w:p>
        </w:tc>
        <w:tc>
          <w:tcPr>
            <w:tcW w:w="2651" w:type="dxa"/>
            <w:tcBorders>
              <w:bottom w:val="single" w:sz="4" w:space="0" w:color="auto"/>
            </w:tcBorders>
          </w:tcPr>
          <w:p w:rsidR="0042023E" w:rsidRPr="0042023E" w:rsidRDefault="0042023E" w:rsidP="00B72D6E">
            <w:pPr>
              <w:jc w:val="both"/>
            </w:pPr>
            <w:r w:rsidRPr="0042023E">
              <w:t>NMCP</w:t>
            </w:r>
          </w:p>
        </w:tc>
        <w:tc>
          <w:tcPr>
            <w:tcW w:w="2394" w:type="dxa"/>
            <w:tcBorders>
              <w:bottom w:val="single" w:sz="4" w:space="0" w:color="auto"/>
            </w:tcBorders>
          </w:tcPr>
          <w:p w:rsidR="0042023E" w:rsidRPr="0042023E" w:rsidRDefault="0042023E" w:rsidP="00B72D6E">
            <w:r w:rsidRPr="0042023E">
              <w:t>PR / Government</w:t>
            </w:r>
          </w:p>
        </w:tc>
      </w:tr>
      <w:tr w:rsidR="0042023E" w:rsidRPr="0042023E" w:rsidTr="00A66811">
        <w:tc>
          <w:tcPr>
            <w:tcW w:w="3703" w:type="dxa"/>
            <w:tcBorders>
              <w:bottom w:val="single" w:sz="4" w:space="0" w:color="auto"/>
            </w:tcBorders>
          </w:tcPr>
          <w:p w:rsidR="0042023E" w:rsidRPr="0042023E" w:rsidRDefault="0042023E" w:rsidP="00B72D6E">
            <w:pPr>
              <w:jc w:val="both"/>
            </w:pPr>
            <w:r w:rsidRPr="0042023E">
              <w:t>Kofi Osae</w:t>
            </w:r>
          </w:p>
        </w:tc>
        <w:tc>
          <w:tcPr>
            <w:tcW w:w="2651" w:type="dxa"/>
            <w:tcBorders>
              <w:bottom w:val="single" w:sz="4" w:space="0" w:color="auto"/>
            </w:tcBorders>
          </w:tcPr>
          <w:p w:rsidR="0042023E" w:rsidRPr="0042023E" w:rsidRDefault="0042023E" w:rsidP="00B72D6E">
            <w:pPr>
              <w:jc w:val="both"/>
            </w:pPr>
            <w:r w:rsidRPr="0042023E">
              <w:t>NMCP</w:t>
            </w:r>
          </w:p>
        </w:tc>
        <w:tc>
          <w:tcPr>
            <w:tcW w:w="2394" w:type="dxa"/>
            <w:tcBorders>
              <w:bottom w:val="single" w:sz="4" w:space="0" w:color="auto"/>
            </w:tcBorders>
          </w:tcPr>
          <w:p w:rsidR="0042023E" w:rsidRPr="0042023E" w:rsidRDefault="0042023E" w:rsidP="00B72D6E">
            <w:pPr>
              <w:jc w:val="both"/>
            </w:pPr>
            <w:r w:rsidRPr="0042023E">
              <w:t>PR / Government</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 xml:space="preserve">Samuel </w:t>
            </w:r>
            <w:proofErr w:type="spellStart"/>
            <w:r w:rsidRPr="0042023E">
              <w:t>Dodoo</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Media Response – Stop TB</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B72D6E">
            <w:pPr>
              <w:jc w:val="both"/>
            </w:pPr>
            <w:r w:rsidRPr="0042023E">
              <w:t>OC / NGO</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Laud Baddoo</w:t>
            </w:r>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JSI Deliver</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B72D6E">
            <w:pPr>
              <w:jc w:val="both"/>
            </w:pPr>
            <w:r w:rsidRPr="0042023E">
              <w:t>OC / Co-opted member</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 xml:space="preserve">Jonathan </w:t>
            </w:r>
            <w:proofErr w:type="spellStart"/>
            <w:r w:rsidRPr="0042023E">
              <w:t>Tetteh-Kwao</w:t>
            </w:r>
            <w:proofErr w:type="spellEnd"/>
            <w:r w:rsidR="00FB25A2">
              <w:t xml:space="preserve"> </w:t>
            </w:r>
            <w:proofErr w:type="spellStart"/>
            <w:r w:rsidR="00FB25A2">
              <w:t>Teye</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FC0B6A" w:rsidRDefault="0042023E" w:rsidP="00FC0B6A">
            <w:pPr>
              <w:jc w:val="both"/>
              <w:rPr>
                <w:sz w:val="21"/>
                <w:szCs w:val="21"/>
              </w:rPr>
            </w:pPr>
            <w:r w:rsidRPr="00FC0B6A">
              <w:rPr>
                <w:sz w:val="21"/>
                <w:szCs w:val="21"/>
              </w:rPr>
              <w:t>Dream</w:t>
            </w:r>
            <w:r w:rsidR="00FC0B6A" w:rsidRPr="00FC0B6A">
              <w:rPr>
                <w:sz w:val="21"/>
                <w:szCs w:val="21"/>
              </w:rPr>
              <w:t xml:space="preserve"> W</w:t>
            </w:r>
            <w:r w:rsidRPr="00FC0B6A">
              <w:rPr>
                <w:sz w:val="21"/>
                <w:szCs w:val="21"/>
              </w:rPr>
              <w:t>eaver</w:t>
            </w:r>
            <w:r w:rsidR="00FC0B6A" w:rsidRPr="00FC0B6A">
              <w:rPr>
                <w:sz w:val="21"/>
                <w:szCs w:val="21"/>
              </w:rPr>
              <w:t xml:space="preserve"> Organization</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E70411">
            <w:pPr>
              <w:jc w:val="both"/>
            </w:pPr>
            <w:r w:rsidRPr="0042023E">
              <w:t xml:space="preserve">OC / </w:t>
            </w:r>
            <w:r w:rsidR="00E70411">
              <w:t>Co-opted member</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r w:rsidRPr="0042023E">
              <w:t xml:space="preserve">Dr. Felicia </w:t>
            </w:r>
            <w:proofErr w:type="spellStart"/>
            <w:r w:rsidRPr="0042023E">
              <w:t>Owusu-Antwi</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WHO</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B72D6E">
            <w:pPr>
              <w:jc w:val="both"/>
            </w:pPr>
            <w:r w:rsidRPr="0042023E">
              <w:t>OC / Co-opted member</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r w:rsidRPr="0042023E">
              <w:t xml:space="preserve">Dr. Sebastian </w:t>
            </w:r>
            <w:proofErr w:type="spellStart"/>
            <w:r w:rsidRPr="0042023E">
              <w:t>Sandaare</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District Health Directorate</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B72D6E">
            <w:pPr>
              <w:jc w:val="both"/>
            </w:pPr>
            <w:r w:rsidRPr="0042023E">
              <w:t>OC / PLWD</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r w:rsidRPr="0042023E">
              <w:t xml:space="preserve">Nick </w:t>
            </w:r>
            <w:proofErr w:type="spellStart"/>
            <w:r w:rsidRPr="0042023E">
              <w:t>Njoka</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GMS</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B72D6E">
            <w:pPr>
              <w:jc w:val="both"/>
            </w:pPr>
            <w:r w:rsidRPr="0042023E">
              <w:t>PR DB consultants</w:t>
            </w:r>
          </w:p>
        </w:tc>
      </w:tr>
      <w:tr w:rsidR="0042023E" w:rsidRPr="0042023E" w:rsidTr="00A66811">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r w:rsidRPr="0042023E">
              <w:t xml:space="preserve">Louis </w:t>
            </w:r>
            <w:proofErr w:type="spellStart"/>
            <w:r w:rsidRPr="0042023E">
              <w:t>Agbe</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023E" w:rsidRPr="0042023E" w:rsidRDefault="0042023E" w:rsidP="00B72D6E">
            <w:pPr>
              <w:jc w:val="both"/>
            </w:pPr>
            <w:r w:rsidRPr="0042023E">
              <w:t>GMS</w:t>
            </w:r>
          </w:p>
        </w:tc>
        <w:tc>
          <w:tcPr>
            <w:tcW w:w="2394" w:type="dxa"/>
            <w:tcBorders>
              <w:top w:val="single" w:sz="4" w:space="0" w:color="000000" w:themeColor="text1"/>
              <w:left w:val="single" w:sz="4" w:space="0" w:color="000000" w:themeColor="text1"/>
              <w:bottom w:val="single" w:sz="4" w:space="0" w:color="000000" w:themeColor="text1"/>
            </w:tcBorders>
          </w:tcPr>
          <w:p w:rsidR="0042023E" w:rsidRPr="0042023E" w:rsidRDefault="0042023E" w:rsidP="00B72D6E">
            <w:pPr>
              <w:jc w:val="both"/>
            </w:pPr>
            <w:r w:rsidRPr="0042023E">
              <w:t>PR DB consultants</w:t>
            </w:r>
          </w:p>
        </w:tc>
      </w:tr>
    </w:tbl>
    <w:p w:rsidR="00696B47" w:rsidRDefault="00696B47" w:rsidP="007D6E1C">
      <w:pPr>
        <w:jc w:val="both"/>
      </w:pPr>
    </w:p>
    <w:p w:rsidR="00641E91" w:rsidRPr="00641E91" w:rsidRDefault="00641E91" w:rsidP="007D6E1C">
      <w:pPr>
        <w:jc w:val="both"/>
        <w:rPr>
          <w:b/>
        </w:rPr>
      </w:pPr>
      <w:r w:rsidRPr="00641E91">
        <w:rPr>
          <w:b/>
        </w:rPr>
        <w:t>A</w:t>
      </w:r>
      <w:r w:rsidR="00962157">
        <w:rPr>
          <w:b/>
        </w:rPr>
        <w:t>bsence</w:t>
      </w:r>
      <w:r w:rsidRPr="00641E91">
        <w:rPr>
          <w:b/>
        </w:rPr>
        <w:t>:</w:t>
      </w:r>
    </w:p>
    <w:tbl>
      <w:tblPr>
        <w:tblStyle w:val="TableGrid"/>
        <w:tblW w:w="0" w:type="auto"/>
        <w:tblLook w:val="04A0" w:firstRow="1" w:lastRow="0" w:firstColumn="1" w:lastColumn="0" w:noHBand="0" w:noVBand="1"/>
      </w:tblPr>
      <w:tblGrid>
        <w:gridCol w:w="2410"/>
        <w:gridCol w:w="2693"/>
        <w:gridCol w:w="1985"/>
        <w:gridCol w:w="1985"/>
      </w:tblGrid>
      <w:tr w:rsidR="003530D1" w:rsidTr="009C6EC9">
        <w:tc>
          <w:tcPr>
            <w:tcW w:w="2410" w:type="dxa"/>
          </w:tcPr>
          <w:p w:rsidR="003530D1" w:rsidRPr="007D6E1C" w:rsidRDefault="003530D1" w:rsidP="00641E91">
            <w:pPr>
              <w:rPr>
                <w:b/>
              </w:rPr>
            </w:pPr>
            <w:r w:rsidRPr="007D6E1C">
              <w:rPr>
                <w:b/>
              </w:rPr>
              <w:t>Name</w:t>
            </w:r>
          </w:p>
        </w:tc>
        <w:tc>
          <w:tcPr>
            <w:tcW w:w="2693" w:type="dxa"/>
          </w:tcPr>
          <w:p w:rsidR="003530D1" w:rsidRPr="007D6E1C" w:rsidRDefault="003530D1" w:rsidP="0008010A">
            <w:pPr>
              <w:jc w:val="both"/>
              <w:rPr>
                <w:b/>
              </w:rPr>
            </w:pPr>
            <w:r w:rsidRPr="007D6E1C">
              <w:rPr>
                <w:b/>
              </w:rPr>
              <w:t>Organization</w:t>
            </w:r>
          </w:p>
        </w:tc>
        <w:tc>
          <w:tcPr>
            <w:tcW w:w="1985" w:type="dxa"/>
          </w:tcPr>
          <w:p w:rsidR="003530D1" w:rsidRPr="007D6E1C" w:rsidRDefault="003530D1" w:rsidP="0008010A">
            <w:pPr>
              <w:jc w:val="both"/>
              <w:rPr>
                <w:b/>
              </w:rPr>
            </w:pPr>
            <w:r w:rsidRPr="007D6E1C">
              <w:rPr>
                <w:b/>
              </w:rPr>
              <w:t>Sector</w:t>
            </w:r>
          </w:p>
        </w:tc>
        <w:tc>
          <w:tcPr>
            <w:tcW w:w="1985" w:type="dxa"/>
          </w:tcPr>
          <w:p w:rsidR="003530D1" w:rsidRPr="007D6E1C" w:rsidRDefault="003530D1" w:rsidP="0008010A">
            <w:pPr>
              <w:jc w:val="both"/>
              <w:rPr>
                <w:b/>
              </w:rPr>
            </w:pPr>
            <w:r>
              <w:rPr>
                <w:b/>
              </w:rPr>
              <w:t>Reason</w:t>
            </w:r>
          </w:p>
        </w:tc>
      </w:tr>
      <w:tr w:rsidR="003530D1" w:rsidRPr="00A66811" w:rsidTr="009C6EC9">
        <w:tc>
          <w:tcPr>
            <w:tcW w:w="24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530D1" w:rsidRPr="00A66811" w:rsidRDefault="003530D1" w:rsidP="00A65425">
            <w:r w:rsidRPr="00A66811">
              <w:t>Daniel Osei</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530D1" w:rsidRPr="00A66811" w:rsidRDefault="003530D1" w:rsidP="00A65425">
            <w:r w:rsidRPr="00A66811">
              <w:t>Ghana Health Services</w:t>
            </w:r>
          </w:p>
        </w:tc>
        <w:tc>
          <w:tcPr>
            <w:tcW w:w="1985" w:type="dxa"/>
            <w:tcBorders>
              <w:left w:val="single" w:sz="4" w:space="0" w:color="000000" w:themeColor="text1"/>
              <w:bottom w:val="single" w:sz="4" w:space="0" w:color="000000" w:themeColor="text1"/>
            </w:tcBorders>
          </w:tcPr>
          <w:p w:rsidR="003530D1" w:rsidRPr="00A66811" w:rsidRDefault="003530D1" w:rsidP="00A65425">
            <w:r w:rsidRPr="00A66811">
              <w:t>Government</w:t>
            </w:r>
          </w:p>
        </w:tc>
        <w:tc>
          <w:tcPr>
            <w:tcW w:w="1985" w:type="dxa"/>
            <w:tcBorders>
              <w:left w:val="single" w:sz="4" w:space="0" w:color="000000" w:themeColor="text1"/>
              <w:bottom w:val="single" w:sz="4" w:space="0" w:color="000000" w:themeColor="text1"/>
            </w:tcBorders>
          </w:tcPr>
          <w:p w:rsidR="003530D1" w:rsidRPr="00A66811" w:rsidRDefault="0042023E" w:rsidP="0042023E">
            <w:r>
              <w:t>Out of town</w:t>
            </w:r>
          </w:p>
        </w:tc>
      </w:tr>
      <w:tr w:rsidR="003530D1" w:rsidTr="009C6EC9">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30D1" w:rsidRPr="00641E91" w:rsidRDefault="003530D1" w:rsidP="00A65425">
            <w:r>
              <w:t>Margaret-Anne Wilson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30D1" w:rsidRPr="00641E91" w:rsidRDefault="003530D1" w:rsidP="00A65425">
            <w:r w:rsidRPr="00641E91">
              <w:t>MOFEP</w:t>
            </w:r>
          </w:p>
        </w:tc>
        <w:tc>
          <w:tcPr>
            <w:tcW w:w="1985" w:type="dxa"/>
            <w:tcBorders>
              <w:top w:val="single" w:sz="4" w:space="0" w:color="000000" w:themeColor="text1"/>
              <w:left w:val="single" w:sz="4" w:space="0" w:color="000000" w:themeColor="text1"/>
              <w:bottom w:val="single" w:sz="4" w:space="0" w:color="000000" w:themeColor="text1"/>
            </w:tcBorders>
          </w:tcPr>
          <w:p w:rsidR="003530D1" w:rsidRDefault="003530D1" w:rsidP="00A65425">
            <w:r>
              <w:t>Government</w:t>
            </w:r>
          </w:p>
        </w:tc>
        <w:tc>
          <w:tcPr>
            <w:tcW w:w="1985" w:type="dxa"/>
            <w:tcBorders>
              <w:top w:val="single" w:sz="4" w:space="0" w:color="000000" w:themeColor="text1"/>
              <w:left w:val="single" w:sz="4" w:space="0" w:color="000000" w:themeColor="text1"/>
              <w:bottom w:val="single" w:sz="4" w:space="0" w:color="000000" w:themeColor="text1"/>
            </w:tcBorders>
          </w:tcPr>
          <w:p w:rsidR="003530D1" w:rsidRDefault="003530D1" w:rsidP="00A65425"/>
        </w:tc>
      </w:tr>
      <w:tr w:rsidR="003530D1" w:rsidTr="009C6EC9">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30D1" w:rsidRPr="00641E91" w:rsidRDefault="003530D1" w:rsidP="00A65425">
            <w:r w:rsidRPr="00641E91">
              <w:t xml:space="preserve">Maurice </w:t>
            </w:r>
            <w:proofErr w:type="spellStart"/>
            <w:r w:rsidRPr="00641E91">
              <w:t>Ocquaye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30D1" w:rsidRPr="00641E91" w:rsidRDefault="003530D1" w:rsidP="00A65425">
            <w:r>
              <w:t>Consultant</w:t>
            </w:r>
          </w:p>
        </w:tc>
        <w:tc>
          <w:tcPr>
            <w:tcW w:w="1985" w:type="dxa"/>
            <w:tcBorders>
              <w:top w:val="single" w:sz="4" w:space="0" w:color="000000" w:themeColor="text1"/>
              <w:left w:val="single" w:sz="4" w:space="0" w:color="000000" w:themeColor="text1"/>
              <w:bottom w:val="single" w:sz="4" w:space="0" w:color="000000" w:themeColor="text1"/>
            </w:tcBorders>
          </w:tcPr>
          <w:p w:rsidR="003530D1" w:rsidRDefault="003530D1" w:rsidP="00A65425">
            <w:r>
              <w:t>Co-opted member</w:t>
            </w:r>
          </w:p>
        </w:tc>
        <w:tc>
          <w:tcPr>
            <w:tcW w:w="1985" w:type="dxa"/>
            <w:tcBorders>
              <w:top w:val="single" w:sz="4" w:space="0" w:color="000000" w:themeColor="text1"/>
              <w:left w:val="single" w:sz="4" w:space="0" w:color="000000" w:themeColor="text1"/>
              <w:bottom w:val="single" w:sz="4" w:space="0" w:color="000000" w:themeColor="text1"/>
            </w:tcBorders>
          </w:tcPr>
          <w:p w:rsidR="003530D1" w:rsidRDefault="003530D1" w:rsidP="00A65425"/>
        </w:tc>
      </w:tr>
      <w:tr w:rsidR="003530D1" w:rsidTr="009C6EC9">
        <w:tc>
          <w:tcPr>
            <w:tcW w:w="2410" w:type="dxa"/>
          </w:tcPr>
          <w:p w:rsidR="003530D1" w:rsidRDefault="003530D1" w:rsidP="00A65425">
            <w:r>
              <w:t>Dr. Philip Ricks</w:t>
            </w:r>
          </w:p>
        </w:tc>
        <w:tc>
          <w:tcPr>
            <w:tcW w:w="2693" w:type="dxa"/>
          </w:tcPr>
          <w:p w:rsidR="003530D1" w:rsidRDefault="003530D1" w:rsidP="00A65425">
            <w:r>
              <w:t>USAID/CDC</w:t>
            </w:r>
          </w:p>
        </w:tc>
        <w:tc>
          <w:tcPr>
            <w:tcW w:w="1985" w:type="dxa"/>
          </w:tcPr>
          <w:p w:rsidR="003530D1" w:rsidRDefault="003530D1" w:rsidP="00A65425">
            <w:r>
              <w:t>Bilateral</w:t>
            </w:r>
          </w:p>
        </w:tc>
        <w:tc>
          <w:tcPr>
            <w:tcW w:w="1985" w:type="dxa"/>
          </w:tcPr>
          <w:p w:rsidR="003530D1" w:rsidRDefault="0042023E" w:rsidP="00A65425">
            <w:r>
              <w:t>Embassy meeting</w:t>
            </w:r>
          </w:p>
        </w:tc>
      </w:tr>
    </w:tbl>
    <w:p w:rsidR="00641E91" w:rsidRDefault="00641E91" w:rsidP="007D6E1C">
      <w:pPr>
        <w:jc w:val="both"/>
        <w:rPr>
          <w:b/>
        </w:rPr>
      </w:pPr>
    </w:p>
    <w:p w:rsidR="006F3793" w:rsidRPr="00962157" w:rsidRDefault="006F3793" w:rsidP="00962157">
      <w:pPr>
        <w:pStyle w:val="ListParagraph"/>
        <w:numPr>
          <w:ilvl w:val="0"/>
          <w:numId w:val="1"/>
        </w:numPr>
        <w:jc w:val="both"/>
        <w:rPr>
          <w:b/>
          <w:sz w:val="24"/>
          <w:szCs w:val="24"/>
        </w:rPr>
      </w:pPr>
      <w:r w:rsidRPr="00962157">
        <w:rPr>
          <w:b/>
          <w:sz w:val="24"/>
          <w:szCs w:val="24"/>
        </w:rPr>
        <w:t>Opening</w:t>
      </w:r>
      <w:r w:rsidR="00C41501">
        <w:rPr>
          <w:b/>
          <w:sz w:val="24"/>
          <w:szCs w:val="24"/>
        </w:rPr>
        <w:t xml:space="preserve"> and AOB</w:t>
      </w:r>
      <w:r w:rsidRPr="00962157">
        <w:rPr>
          <w:b/>
          <w:sz w:val="24"/>
          <w:szCs w:val="24"/>
        </w:rPr>
        <w:t>:</w:t>
      </w:r>
    </w:p>
    <w:p w:rsidR="00C41501" w:rsidRDefault="006F3793" w:rsidP="002B48B1">
      <w:pPr>
        <w:jc w:val="both"/>
      </w:pPr>
      <w:r>
        <w:t>The meeting started at about</w:t>
      </w:r>
      <w:r w:rsidR="0042023E">
        <w:t xml:space="preserve"> 9:30am</w:t>
      </w:r>
      <w:r>
        <w:t>.</w:t>
      </w:r>
      <w:r w:rsidR="0042023E">
        <w:t xml:space="preserve"> The first 1.5h of the meeting </w:t>
      </w:r>
      <w:proofErr w:type="gramStart"/>
      <w:r w:rsidR="0042023E">
        <w:t>were</w:t>
      </w:r>
      <w:proofErr w:type="gramEnd"/>
      <w:r w:rsidR="0042023E">
        <w:t xml:space="preserve"> dedicated to a presentation of the PR Dashboard and CCM Summary Dashboard held by the GMS consultants </w:t>
      </w:r>
      <w:r w:rsidR="00E70411">
        <w:t xml:space="preserve">Nick </w:t>
      </w:r>
      <w:proofErr w:type="spellStart"/>
      <w:r w:rsidR="00E70411">
        <w:t>Njoka</w:t>
      </w:r>
      <w:proofErr w:type="spellEnd"/>
      <w:r w:rsidR="00E70411">
        <w:t xml:space="preserve"> and Louis </w:t>
      </w:r>
      <w:proofErr w:type="spellStart"/>
      <w:r w:rsidR="00E70411">
        <w:t>Agbe</w:t>
      </w:r>
      <w:proofErr w:type="spellEnd"/>
      <w:r w:rsidR="00E70411">
        <w:t xml:space="preserve">. </w:t>
      </w:r>
      <w:r w:rsidR="006B3A8B">
        <w:t xml:space="preserve">Both assisted the PR and the OC members in the analysis and interpretation of the dashboards under review. </w:t>
      </w:r>
    </w:p>
    <w:p w:rsidR="00C41501" w:rsidRDefault="00C41501" w:rsidP="002B48B1">
      <w:pPr>
        <w:jc w:val="both"/>
      </w:pPr>
      <w:r>
        <w:t xml:space="preserve">The participants were asked if any potential or real </w:t>
      </w:r>
      <w:r w:rsidRPr="00FD680A">
        <w:rPr>
          <w:b/>
        </w:rPr>
        <w:t>conflict of interest</w:t>
      </w:r>
      <w:r>
        <w:t xml:space="preserve"> could bias their impartiality during this oversight committee meeting but all declined.</w:t>
      </w:r>
    </w:p>
    <w:p w:rsidR="00C41501" w:rsidRDefault="00C41501" w:rsidP="002B48B1">
      <w:pPr>
        <w:jc w:val="both"/>
      </w:pPr>
      <w:r>
        <w:t xml:space="preserve">For the first time during the past year, the malaria oversight committee reached a quorum. Therefore, the committee was finally able to </w:t>
      </w:r>
      <w:r w:rsidRPr="00FD680A">
        <w:rPr>
          <w:b/>
        </w:rPr>
        <w:t>select a chairman</w:t>
      </w:r>
      <w:r>
        <w:t xml:space="preserve">. Only two OC members are at the same time CCM members and thus eligible. They were asked if they were interested in becoming the Chairman of the malaria oversight committee. Dr. Sebastian </w:t>
      </w:r>
      <w:proofErr w:type="spellStart"/>
      <w:r>
        <w:t>Sandaare</w:t>
      </w:r>
      <w:proofErr w:type="spellEnd"/>
      <w:r>
        <w:t xml:space="preserve"> declined and Samuel </w:t>
      </w:r>
      <w:proofErr w:type="spellStart"/>
      <w:r>
        <w:t>Dodoo</w:t>
      </w:r>
      <w:proofErr w:type="spellEnd"/>
      <w:r>
        <w:t xml:space="preserve"> confirmed his interest. All remaining members approved unanimously Samuel </w:t>
      </w:r>
      <w:proofErr w:type="spellStart"/>
      <w:r>
        <w:t>Dodoo</w:t>
      </w:r>
      <w:proofErr w:type="spellEnd"/>
      <w:r>
        <w:t xml:space="preserve"> as the Chairman of the malaria oversight committee. </w:t>
      </w:r>
    </w:p>
    <w:p w:rsidR="00E61EC8" w:rsidRDefault="00C41501" w:rsidP="002B48B1">
      <w:pPr>
        <w:jc w:val="both"/>
      </w:pPr>
      <w:r>
        <w:lastRenderedPageBreak/>
        <w:t xml:space="preserve">The OC as well as the NMCP representatives were informed that the </w:t>
      </w:r>
      <w:r w:rsidR="00943BA5" w:rsidRPr="00FD680A">
        <w:rPr>
          <w:b/>
        </w:rPr>
        <w:t>next</w:t>
      </w:r>
      <w:r w:rsidRPr="00FD680A">
        <w:rPr>
          <w:b/>
        </w:rPr>
        <w:t xml:space="preserve"> site visit</w:t>
      </w:r>
      <w:r>
        <w:t xml:space="preserve"> could only take place in July/August. It was planned in August 2015 that the site visit should cover </w:t>
      </w:r>
      <w:proofErr w:type="spellStart"/>
      <w:r>
        <w:t>Obuasi</w:t>
      </w:r>
      <w:proofErr w:type="spellEnd"/>
      <w:r>
        <w:t xml:space="preserve"> as an AGA Mal implementation site</w:t>
      </w:r>
      <w:r w:rsidR="00943BA5">
        <w:t xml:space="preserve">. However, AGA Mal had delayed IRS in </w:t>
      </w:r>
      <w:proofErr w:type="spellStart"/>
      <w:r w:rsidR="00943BA5">
        <w:t>Obuasi</w:t>
      </w:r>
      <w:proofErr w:type="spellEnd"/>
      <w:r w:rsidR="00943BA5">
        <w:t xml:space="preserve"> due to upcoming resistance issues and subsequent discussions with the Global Fund. The OC determined the second week of August as tentative dates for the site visit. </w:t>
      </w:r>
      <w:bookmarkStart w:id="0" w:name="_GoBack"/>
      <w:bookmarkEnd w:id="0"/>
    </w:p>
    <w:p w:rsidR="00E61EC8" w:rsidRDefault="00E61EC8" w:rsidP="002B48B1">
      <w:pPr>
        <w:jc w:val="both"/>
      </w:pPr>
      <w:r>
        <w:t xml:space="preserve">The </w:t>
      </w:r>
      <w:r w:rsidRPr="00FD680A">
        <w:rPr>
          <w:b/>
        </w:rPr>
        <w:t>site visit to the Eastern Region</w:t>
      </w:r>
      <w:r>
        <w:t xml:space="preserve"> that took place between the 3</w:t>
      </w:r>
      <w:r w:rsidRPr="00E61EC8">
        <w:rPr>
          <w:vertAlign w:val="superscript"/>
        </w:rPr>
        <w:t>rd</w:t>
      </w:r>
      <w:r>
        <w:t xml:space="preserve"> and 6</w:t>
      </w:r>
      <w:r w:rsidRPr="00E61EC8">
        <w:rPr>
          <w:vertAlign w:val="superscript"/>
        </w:rPr>
        <w:t>th</w:t>
      </w:r>
      <w:r>
        <w:t xml:space="preserve"> of May targeted primarily HIV and TB PRs. </w:t>
      </w:r>
      <w:r w:rsidR="00D8399F">
        <w:t xml:space="preserve">NMCP representatives and OC members not present during the site visit were informed about the main malaria related findings:   </w:t>
      </w:r>
    </w:p>
    <w:p w:rsidR="002B48B1" w:rsidRDefault="00E61EC8" w:rsidP="00E61EC8">
      <w:pPr>
        <w:pStyle w:val="ListParagraph"/>
        <w:numPr>
          <w:ilvl w:val="0"/>
          <w:numId w:val="12"/>
        </w:numPr>
        <w:jc w:val="both"/>
      </w:pPr>
      <w:r>
        <w:t>NMCP is perceived as one of the most active programs. Deaths related to malaria have significantly dropped during the past years</w:t>
      </w:r>
    </w:p>
    <w:p w:rsidR="00E61EC8" w:rsidRDefault="00E61EC8" w:rsidP="00E61EC8">
      <w:pPr>
        <w:pStyle w:val="ListParagraph"/>
        <w:numPr>
          <w:ilvl w:val="0"/>
          <w:numId w:val="12"/>
        </w:numPr>
        <w:jc w:val="both"/>
      </w:pPr>
      <w:r>
        <w:t>Issues include primarily chemical sellers who do not test for malaria but who still sell ACTs.</w:t>
      </w:r>
    </w:p>
    <w:p w:rsidR="00D8399F" w:rsidRDefault="00E61EC8" w:rsidP="00E61EC8">
      <w:pPr>
        <w:pStyle w:val="ListParagraph"/>
        <w:numPr>
          <w:ilvl w:val="0"/>
          <w:numId w:val="12"/>
        </w:numPr>
        <w:jc w:val="both"/>
      </w:pPr>
      <w:r>
        <w:t xml:space="preserve">Koforidua </w:t>
      </w:r>
      <w:proofErr w:type="gramStart"/>
      <w:r>
        <w:t xml:space="preserve">prison </w:t>
      </w:r>
      <w:r w:rsidR="00D8399F">
        <w:t>(</w:t>
      </w:r>
      <w:r>
        <w:t>and possibly others</w:t>
      </w:r>
      <w:r w:rsidR="00D8399F">
        <w:t>)</w:t>
      </w:r>
      <w:r>
        <w:t xml:space="preserve"> do</w:t>
      </w:r>
      <w:proofErr w:type="gramEnd"/>
      <w:r>
        <w:t xml:space="preserve"> not have any means of malaria prevention. It is too congested to consider bed </w:t>
      </w:r>
      <w:r w:rsidR="00D8399F">
        <w:t>nets;</w:t>
      </w:r>
      <w:r>
        <w:t xml:space="preserve"> the poor ventilation does not allow mosquito screens on doors and windows. </w:t>
      </w:r>
      <w:r w:rsidR="00D8399F">
        <w:t>AGA Mal confirmed that IRS in prisons only (i.e. without spraying the whole community) is possible, however, spraying would have to be done 4 times a year for a sustained protective impact.</w:t>
      </w:r>
    </w:p>
    <w:p w:rsidR="002B48B1" w:rsidRDefault="00D8399F" w:rsidP="007D6E1C">
      <w:pPr>
        <w:pStyle w:val="ListParagraph"/>
        <w:numPr>
          <w:ilvl w:val="0"/>
          <w:numId w:val="12"/>
        </w:numPr>
        <w:jc w:val="both"/>
      </w:pPr>
      <w:r>
        <w:t xml:space="preserve">Koforidua prison (and possibly others), while having an infirmary, does not have any malaria RDTs or ACTs. All inmates with suspected malaria have to be referred to the regional hospital for diagnosis and treatment. </w:t>
      </w:r>
      <w:r w:rsidR="00E61EC8">
        <w:t xml:space="preserve"> </w:t>
      </w:r>
    </w:p>
    <w:p w:rsidR="00D8399F" w:rsidRDefault="00D8399F" w:rsidP="00D8399F">
      <w:pPr>
        <w:pStyle w:val="ListParagraph"/>
        <w:ind w:left="717"/>
        <w:jc w:val="both"/>
      </w:pPr>
    </w:p>
    <w:p w:rsidR="006F3793" w:rsidRDefault="00277FE1" w:rsidP="00962157">
      <w:pPr>
        <w:pStyle w:val="ListParagraph"/>
        <w:numPr>
          <w:ilvl w:val="0"/>
          <w:numId w:val="1"/>
        </w:numPr>
        <w:spacing w:before="240"/>
        <w:ind w:left="357" w:hanging="357"/>
        <w:contextualSpacing w:val="0"/>
        <w:jc w:val="both"/>
        <w:rPr>
          <w:b/>
          <w:sz w:val="24"/>
          <w:szCs w:val="24"/>
        </w:rPr>
      </w:pPr>
      <w:r>
        <w:rPr>
          <w:b/>
          <w:sz w:val="24"/>
          <w:szCs w:val="24"/>
        </w:rPr>
        <w:t xml:space="preserve">NMCP </w:t>
      </w:r>
      <w:r w:rsidR="008C026B" w:rsidRPr="00962157">
        <w:rPr>
          <w:b/>
          <w:sz w:val="24"/>
          <w:szCs w:val="24"/>
        </w:rPr>
        <w:t>Dash Board:</w:t>
      </w:r>
    </w:p>
    <w:p w:rsidR="00D8399F" w:rsidRPr="00D44AFE" w:rsidRDefault="00D8399F" w:rsidP="00D8399F">
      <w:pPr>
        <w:pStyle w:val="ListParagraph"/>
        <w:spacing w:before="240"/>
        <w:ind w:left="360"/>
        <w:contextualSpacing w:val="0"/>
        <w:jc w:val="both"/>
      </w:pPr>
      <w:r w:rsidRPr="00D44AFE">
        <w:t xml:space="preserve">NMCP presented its PR dashboard with the exception of the programmatic indicators, which were presented using the CCM dashboard due </w:t>
      </w:r>
      <w:r w:rsidR="00D44AFE" w:rsidRPr="00D44AFE">
        <w:t xml:space="preserve">to different definitions of the indicators in the PR dashboard. The OC/CCM will follow up on this issue. NMCP expressed great content with the PR dashboard. </w:t>
      </w:r>
    </w:p>
    <w:p w:rsidR="008C026B" w:rsidRPr="00962157" w:rsidRDefault="008C026B" w:rsidP="00671CBC">
      <w:pPr>
        <w:pStyle w:val="ListParagraph"/>
        <w:numPr>
          <w:ilvl w:val="0"/>
          <w:numId w:val="5"/>
        </w:numPr>
        <w:spacing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671CBC" w:rsidTr="00B8440B">
        <w:tc>
          <w:tcPr>
            <w:tcW w:w="1056" w:type="dxa"/>
          </w:tcPr>
          <w:p w:rsidR="00671CBC" w:rsidRDefault="00671CBC" w:rsidP="00B8440B">
            <w:pPr>
              <w:pStyle w:val="ListParagraph"/>
              <w:spacing w:before="120"/>
              <w:ind w:left="0"/>
              <w:contextualSpacing w:val="0"/>
              <w:jc w:val="both"/>
              <w:rPr>
                <w:b/>
              </w:rPr>
            </w:pPr>
            <w:r>
              <w:rPr>
                <w:b/>
              </w:rPr>
              <w:t>Indicator</w:t>
            </w:r>
          </w:p>
        </w:tc>
        <w:tc>
          <w:tcPr>
            <w:tcW w:w="2693" w:type="dxa"/>
          </w:tcPr>
          <w:p w:rsidR="00671CBC" w:rsidRDefault="00671CBC" w:rsidP="00B8440B">
            <w:pPr>
              <w:pStyle w:val="ListParagraph"/>
              <w:spacing w:before="120"/>
              <w:ind w:left="0"/>
              <w:contextualSpacing w:val="0"/>
              <w:jc w:val="both"/>
              <w:rPr>
                <w:b/>
              </w:rPr>
            </w:pPr>
            <w:r>
              <w:rPr>
                <w:b/>
              </w:rPr>
              <w:t xml:space="preserve">Observation </w:t>
            </w:r>
          </w:p>
        </w:tc>
        <w:tc>
          <w:tcPr>
            <w:tcW w:w="5844" w:type="dxa"/>
          </w:tcPr>
          <w:p w:rsidR="00671CBC" w:rsidRDefault="00671CBC" w:rsidP="00B8440B">
            <w:pPr>
              <w:pStyle w:val="ListParagraph"/>
              <w:spacing w:before="120"/>
              <w:ind w:left="0"/>
              <w:contextualSpacing w:val="0"/>
              <w:jc w:val="both"/>
              <w:rPr>
                <w:b/>
              </w:rPr>
            </w:pPr>
            <w:r>
              <w:rPr>
                <w:b/>
              </w:rPr>
              <w:t xml:space="preserve">Answer / Decision </w:t>
            </w:r>
          </w:p>
        </w:tc>
      </w:tr>
      <w:tr w:rsidR="00671CBC" w:rsidTr="00B8440B">
        <w:tc>
          <w:tcPr>
            <w:tcW w:w="1056" w:type="dxa"/>
          </w:tcPr>
          <w:p w:rsidR="00671CBC" w:rsidRDefault="006D30A3" w:rsidP="00B8440B">
            <w:pPr>
              <w:pStyle w:val="ListParagraph"/>
              <w:spacing w:before="120"/>
              <w:ind w:left="0"/>
              <w:contextualSpacing w:val="0"/>
              <w:jc w:val="both"/>
              <w:rPr>
                <w:b/>
              </w:rPr>
            </w:pPr>
            <w:r>
              <w:rPr>
                <w:b/>
              </w:rPr>
              <w:t>F1</w:t>
            </w:r>
          </w:p>
        </w:tc>
        <w:tc>
          <w:tcPr>
            <w:tcW w:w="2693" w:type="dxa"/>
          </w:tcPr>
          <w:p w:rsidR="00671CBC" w:rsidRPr="006D30A3" w:rsidRDefault="003A6E69" w:rsidP="003A6E69">
            <w:pPr>
              <w:pStyle w:val="ListParagraph"/>
              <w:spacing w:before="120"/>
              <w:ind w:left="0"/>
              <w:contextualSpacing w:val="0"/>
            </w:pPr>
            <w:r>
              <w:t>62% cum burn rate, 42% quarterly burn rate</w:t>
            </w:r>
          </w:p>
        </w:tc>
        <w:tc>
          <w:tcPr>
            <w:tcW w:w="5844" w:type="dxa"/>
          </w:tcPr>
          <w:p w:rsidR="00671CBC" w:rsidRPr="006D30A3" w:rsidRDefault="00D8399F" w:rsidP="001B7ECB">
            <w:pPr>
              <w:pStyle w:val="ListParagraph"/>
              <w:spacing w:before="120"/>
              <w:ind w:left="0"/>
              <w:contextualSpacing w:val="0"/>
            </w:pPr>
            <w:r>
              <w:t>See below</w:t>
            </w:r>
            <w:r w:rsidR="005429D6">
              <w:t>. Low burn rate also reflects the savings which will be used for covering the funding gap in 2017. Budget will be adjusted</w:t>
            </w:r>
          </w:p>
        </w:tc>
      </w:tr>
      <w:tr w:rsidR="006D30A3" w:rsidTr="00B8440B">
        <w:tc>
          <w:tcPr>
            <w:tcW w:w="1056" w:type="dxa"/>
          </w:tcPr>
          <w:p w:rsidR="006D30A3" w:rsidRDefault="006D30A3" w:rsidP="00B8440B">
            <w:pPr>
              <w:pStyle w:val="ListParagraph"/>
              <w:spacing w:before="120"/>
              <w:ind w:left="0"/>
              <w:contextualSpacing w:val="0"/>
              <w:jc w:val="both"/>
              <w:rPr>
                <w:b/>
              </w:rPr>
            </w:pPr>
            <w:r>
              <w:rPr>
                <w:b/>
              </w:rPr>
              <w:t>F2</w:t>
            </w:r>
          </w:p>
        </w:tc>
        <w:tc>
          <w:tcPr>
            <w:tcW w:w="2693" w:type="dxa"/>
          </w:tcPr>
          <w:p w:rsidR="006D30A3" w:rsidRDefault="003A6E69" w:rsidP="003A6E69">
            <w:pPr>
              <w:pStyle w:val="ListParagraph"/>
              <w:spacing w:before="120"/>
              <w:ind w:left="0"/>
              <w:contextualSpacing w:val="0"/>
            </w:pPr>
            <w:r>
              <w:t>Case management quarterly burn rate o% but 47% of budget</w:t>
            </w:r>
            <w:r w:rsidR="00FA1E79">
              <w:t xml:space="preserve"> (still for trainings?)</w:t>
            </w:r>
          </w:p>
          <w:p w:rsidR="003A6E69" w:rsidRPr="006D30A3" w:rsidRDefault="003A6E69" w:rsidP="003A6E69">
            <w:pPr>
              <w:pStyle w:val="ListParagraph"/>
              <w:spacing w:before="120"/>
              <w:ind w:left="0"/>
              <w:contextualSpacing w:val="0"/>
            </w:pPr>
            <w:r>
              <w:t>Low M&amp;E expenditures (30%)</w:t>
            </w:r>
          </w:p>
        </w:tc>
        <w:tc>
          <w:tcPr>
            <w:tcW w:w="5844" w:type="dxa"/>
          </w:tcPr>
          <w:p w:rsidR="006D30A3" w:rsidRDefault="00935525" w:rsidP="00935525">
            <w:pPr>
              <w:pStyle w:val="ListParagraph"/>
              <w:spacing w:before="120"/>
              <w:ind w:left="0"/>
              <w:contextualSpacing w:val="0"/>
            </w:pPr>
            <w:r>
              <w:t xml:space="preserve">ACTs have not arrived yet (8m). Will arrive in June. Schedule has not changed. </w:t>
            </w:r>
            <w:r w:rsidR="00D8399F">
              <w:t>Budget was not adjusted to reflect actual planned arrivals</w:t>
            </w:r>
            <w:r>
              <w:t xml:space="preserve">. Budget revision </w:t>
            </w:r>
            <w:r w:rsidR="00D8399F">
              <w:t xml:space="preserve">does </w:t>
            </w:r>
            <w:r>
              <w:t>reflect planned arrivals</w:t>
            </w:r>
            <w:r w:rsidR="00D8399F">
              <w:t>.</w:t>
            </w:r>
            <w:r>
              <w:t xml:space="preserve"> </w:t>
            </w:r>
          </w:p>
          <w:p w:rsidR="00935525" w:rsidRDefault="00935525" w:rsidP="00935525">
            <w:pPr>
              <w:pStyle w:val="ListParagraph"/>
              <w:spacing w:before="120"/>
              <w:ind w:left="0"/>
              <w:contextualSpacing w:val="0"/>
            </w:pPr>
          </w:p>
          <w:p w:rsidR="00935525" w:rsidRPr="006D30A3" w:rsidRDefault="00935525" w:rsidP="00935525">
            <w:pPr>
              <w:pStyle w:val="ListParagraph"/>
              <w:spacing w:before="120"/>
              <w:ind w:left="0"/>
              <w:contextualSpacing w:val="0"/>
            </w:pPr>
            <w:r>
              <w:t>Mal Indicator Survey delayed. Approval from GF pending.</w:t>
            </w:r>
          </w:p>
        </w:tc>
      </w:tr>
    </w:tbl>
    <w:p w:rsidR="005429D6" w:rsidRDefault="005429D6" w:rsidP="005429D6">
      <w:pPr>
        <w:pStyle w:val="ListParagraph"/>
        <w:spacing w:before="360" w:after="120"/>
        <w:ind w:left="357"/>
        <w:contextualSpacing w:val="0"/>
        <w:jc w:val="both"/>
        <w:rPr>
          <w:b/>
        </w:rPr>
      </w:pPr>
    </w:p>
    <w:p w:rsidR="005429D6" w:rsidRDefault="005429D6">
      <w:pPr>
        <w:rPr>
          <w:b/>
        </w:rPr>
      </w:pPr>
      <w:r>
        <w:rPr>
          <w:b/>
        </w:rPr>
        <w:br w:type="page"/>
      </w:r>
    </w:p>
    <w:p w:rsidR="002611FF" w:rsidRPr="00F13BBA" w:rsidRDefault="002611FF" w:rsidP="00671CBC">
      <w:pPr>
        <w:pStyle w:val="ListParagraph"/>
        <w:numPr>
          <w:ilvl w:val="0"/>
          <w:numId w:val="5"/>
        </w:numPr>
        <w:spacing w:before="360" w:after="120"/>
        <w:ind w:left="357" w:hanging="357"/>
        <w:contextualSpacing w:val="0"/>
        <w:jc w:val="both"/>
        <w:rPr>
          <w:b/>
        </w:rPr>
      </w:pPr>
      <w:r w:rsidRPr="00F13BBA">
        <w:rPr>
          <w:b/>
        </w:rPr>
        <w:lastRenderedPageBreak/>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371F42" w:rsidTr="00B8440B">
        <w:tc>
          <w:tcPr>
            <w:tcW w:w="1056" w:type="dxa"/>
          </w:tcPr>
          <w:p w:rsidR="00371F42" w:rsidRDefault="00371F42" w:rsidP="00B8440B">
            <w:pPr>
              <w:pStyle w:val="ListParagraph"/>
              <w:spacing w:before="120"/>
              <w:ind w:left="0"/>
              <w:contextualSpacing w:val="0"/>
              <w:jc w:val="both"/>
              <w:rPr>
                <w:b/>
              </w:rPr>
            </w:pPr>
            <w:r>
              <w:rPr>
                <w:b/>
              </w:rPr>
              <w:t>Indicator</w:t>
            </w:r>
          </w:p>
        </w:tc>
        <w:tc>
          <w:tcPr>
            <w:tcW w:w="2693" w:type="dxa"/>
          </w:tcPr>
          <w:p w:rsidR="00371F42" w:rsidRDefault="00371F42" w:rsidP="00B8440B">
            <w:pPr>
              <w:pStyle w:val="ListParagraph"/>
              <w:spacing w:before="120"/>
              <w:ind w:left="0"/>
              <w:contextualSpacing w:val="0"/>
              <w:jc w:val="both"/>
              <w:rPr>
                <w:b/>
              </w:rPr>
            </w:pPr>
            <w:r>
              <w:rPr>
                <w:b/>
              </w:rPr>
              <w:t xml:space="preserve">Observation  </w:t>
            </w:r>
          </w:p>
        </w:tc>
        <w:tc>
          <w:tcPr>
            <w:tcW w:w="5844" w:type="dxa"/>
          </w:tcPr>
          <w:p w:rsidR="00371F42" w:rsidRDefault="00371F42" w:rsidP="00B8440B">
            <w:pPr>
              <w:pStyle w:val="ListParagraph"/>
              <w:spacing w:before="120"/>
              <w:ind w:left="0"/>
              <w:contextualSpacing w:val="0"/>
              <w:jc w:val="both"/>
              <w:rPr>
                <w:b/>
              </w:rPr>
            </w:pPr>
            <w:r>
              <w:rPr>
                <w:b/>
              </w:rPr>
              <w:t xml:space="preserve">Answer / Decision </w:t>
            </w:r>
          </w:p>
        </w:tc>
      </w:tr>
      <w:tr w:rsidR="00371F42" w:rsidTr="00B8440B">
        <w:tc>
          <w:tcPr>
            <w:tcW w:w="1056" w:type="dxa"/>
          </w:tcPr>
          <w:p w:rsidR="00371F42" w:rsidRDefault="00D44AFE" w:rsidP="00B8440B">
            <w:pPr>
              <w:pStyle w:val="ListParagraph"/>
              <w:spacing w:before="120"/>
              <w:ind w:left="0"/>
              <w:contextualSpacing w:val="0"/>
              <w:jc w:val="both"/>
              <w:rPr>
                <w:b/>
              </w:rPr>
            </w:pPr>
            <w:r>
              <w:rPr>
                <w:b/>
              </w:rPr>
              <w:t>PR DB</w:t>
            </w:r>
          </w:p>
        </w:tc>
        <w:tc>
          <w:tcPr>
            <w:tcW w:w="2693" w:type="dxa"/>
          </w:tcPr>
          <w:p w:rsidR="00371F42" w:rsidRPr="006D30A3" w:rsidRDefault="006C39E2" w:rsidP="006D30A3">
            <w:pPr>
              <w:pStyle w:val="ListParagraph"/>
              <w:spacing w:before="120"/>
              <w:ind w:left="0"/>
              <w:contextualSpacing w:val="0"/>
            </w:pPr>
            <w:r>
              <w:t xml:space="preserve">10 supervisory visits past due. </w:t>
            </w:r>
          </w:p>
        </w:tc>
        <w:tc>
          <w:tcPr>
            <w:tcW w:w="5844" w:type="dxa"/>
          </w:tcPr>
          <w:p w:rsidR="00371F42" w:rsidRPr="006D30A3" w:rsidRDefault="006C39E2" w:rsidP="006D30A3">
            <w:pPr>
              <w:pStyle w:val="ListParagraph"/>
              <w:spacing w:before="120"/>
              <w:ind w:left="0"/>
              <w:contextualSpacing w:val="0"/>
            </w:pPr>
            <w:r>
              <w:t xml:space="preserve">Visits were done but reports still outstanding. </w:t>
            </w:r>
          </w:p>
        </w:tc>
      </w:tr>
      <w:tr w:rsidR="00D44AFE" w:rsidTr="00B8440B">
        <w:tc>
          <w:tcPr>
            <w:tcW w:w="1056" w:type="dxa"/>
          </w:tcPr>
          <w:p w:rsidR="00D44AFE" w:rsidRDefault="000C0DBC" w:rsidP="00B8440B">
            <w:pPr>
              <w:pStyle w:val="ListParagraph"/>
              <w:spacing w:before="120"/>
              <w:ind w:left="0"/>
              <w:contextualSpacing w:val="0"/>
              <w:jc w:val="both"/>
              <w:rPr>
                <w:b/>
              </w:rPr>
            </w:pPr>
            <w:r>
              <w:rPr>
                <w:b/>
              </w:rPr>
              <w:t>PR DB</w:t>
            </w:r>
          </w:p>
        </w:tc>
        <w:tc>
          <w:tcPr>
            <w:tcW w:w="2693" w:type="dxa"/>
          </w:tcPr>
          <w:p w:rsidR="00D44AFE" w:rsidRPr="006D30A3" w:rsidRDefault="00D44AFE" w:rsidP="00660D37">
            <w:pPr>
              <w:pStyle w:val="ListParagraph"/>
              <w:spacing w:before="120"/>
              <w:ind w:left="0"/>
              <w:contextualSpacing w:val="0"/>
            </w:pPr>
            <w:r>
              <w:t>5/80 finance reports past due</w:t>
            </w:r>
          </w:p>
        </w:tc>
        <w:tc>
          <w:tcPr>
            <w:tcW w:w="5844" w:type="dxa"/>
          </w:tcPr>
          <w:p w:rsidR="00D44AFE" w:rsidRDefault="00D44AFE" w:rsidP="00660D37">
            <w:pPr>
              <w:pStyle w:val="ListParagraph"/>
              <w:spacing w:before="120"/>
              <w:ind w:left="0"/>
              <w:contextualSpacing w:val="0"/>
            </w:pPr>
            <w:r>
              <w:t>61 NGOs + 10 regions + other institutions = 80</w:t>
            </w:r>
          </w:p>
          <w:p w:rsidR="00D44AFE" w:rsidRPr="006D30A3" w:rsidRDefault="00D44AFE" w:rsidP="00660D37">
            <w:pPr>
              <w:pStyle w:val="ListParagraph"/>
              <w:spacing w:before="120"/>
              <w:ind w:left="0"/>
              <w:contextualSpacing w:val="0"/>
            </w:pPr>
            <w:r>
              <w:t xml:space="preserve">Outstanding reports from NGOs. </w:t>
            </w:r>
          </w:p>
        </w:tc>
      </w:tr>
      <w:tr w:rsidR="000C0DBC" w:rsidTr="00B8440B">
        <w:tc>
          <w:tcPr>
            <w:tcW w:w="1056" w:type="dxa"/>
          </w:tcPr>
          <w:p w:rsidR="000C0DBC" w:rsidRDefault="000C0DBC" w:rsidP="00B8440B">
            <w:pPr>
              <w:pStyle w:val="ListParagraph"/>
              <w:spacing w:before="120"/>
              <w:ind w:left="0"/>
              <w:contextualSpacing w:val="0"/>
              <w:jc w:val="both"/>
              <w:rPr>
                <w:b/>
              </w:rPr>
            </w:pPr>
            <w:r>
              <w:rPr>
                <w:b/>
              </w:rPr>
              <w:t>PR DB</w:t>
            </w:r>
          </w:p>
        </w:tc>
        <w:tc>
          <w:tcPr>
            <w:tcW w:w="2693" w:type="dxa"/>
          </w:tcPr>
          <w:p w:rsidR="000C0DBC" w:rsidRDefault="000C0DBC" w:rsidP="000C0DBC">
            <w:pPr>
              <w:pStyle w:val="ListParagraph"/>
              <w:spacing w:before="120"/>
              <w:ind w:left="0"/>
              <w:contextualSpacing w:val="0"/>
            </w:pPr>
            <w:r w:rsidRPr="000C0DBC">
              <w:t xml:space="preserve"># sites with stock out </w:t>
            </w:r>
            <w:r>
              <w:t xml:space="preserve">– Definition of indicator? </w:t>
            </w:r>
            <w:r w:rsidRPr="000C0DBC">
              <w:t xml:space="preserve"> </w:t>
            </w:r>
          </w:p>
        </w:tc>
        <w:tc>
          <w:tcPr>
            <w:tcW w:w="5844" w:type="dxa"/>
          </w:tcPr>
          <w:p w:rsidR="000C0DBC" w:rsidRDefault="000C0DBC" w:rsidP="006D30A3">
            <w:pPr>
              <w:pStyle w:val="ListParagraph"/>
              <w:spacing w:before="120"/>
              <w:ind w:left="0"/>
              <w:contextualSpacing w:val="0"/>
            </w:pPr>
            <w:r w:rsidRPr="000C0DBC">
              <w:t>Based on RMS stock at close of quarter</w:t>
            </w:r>
            <w:r>
              <w:t xml:space="preserve"> (not facility based) an on commodities listed in PR dashboard with </w:t>
            </w:r>
            <w:proofErr w:type="spellStart"/>
            <w:r>
              <w:t>MoS</w:t>
            </w:r>
            <w:proofErr w:type="spellEnd"/>
            <w:r>
              <w:t xml:space="preserve"> (also incl. RDTs but not those procured by other donors/</w:t>
            </w:r>
            <w:proofErr w:type="spellStart"/>
            <w:r>
              <w:t>GoG</w:t>
            </w:r>
            <w:proofErr w:type="spellEnd"/>
            <w:r>
              <w:t xml:space="preserve">). </w:t>
            </w:r>
            <w:r w:rsidRPr="000C0DBC">
              <w:t xml:space="preserve"> </w:t>
            </w:r>
          </w:p>
        </w:tc>
      </w:tr>
      <w:tr w:rsidR="00D44AFE" w:rsidTr="00B8440B">
        <w:tc>
          <w:tcPr>
            <w:tcW w:w="1056" w:type="dxa"/>
          </w:tcPr>
          <w:p w:rsidR="00D44AFE" w:rsidRDefault="00D44AFE" w:rsidP="00B8440B">
            <w:pPr>
              <w:pStyle w:val="ListParagraph"/>
              <w:spacing w:before="120"/>
              <w:ind w:left="0"/>
              <w:contextualSpacing w:val="0"/>
              <w:jc w:val="both"/>
              <w:rPr>
                <w:b/>
              </w:rPr>
            </w:pPr>
            <w:r>
              <w:rPr>
                <w:b/>
              </w:rPr>
              <w:t>M2</w:t>
            </w:r>
          </w:p>
        </w:tc>
        <w:tc>
          <w:tcPr>
            <w:tcW w:w="2693" w:type="dxa"/>
          </w:tcPr>
          <w:p w:rsidR="00D44AFE" w:rsidRPr="006D30A3" w:rsidRDefault="00D44AFE" w:rsidP="006D30A3">
            <w:pPr>
              <w:pStyle w:val="ListParagraph"/>
              <w:spacing w:before="120"/>
              <w:ind w:left="0"/>
              <w:contextualSpacing w:val="0"/>
            </w:pPr>
            <w:r>
              <w:t>Key PR mgmt. positions: last quarter 1 vacant, now 6?</w:t>
            </w:r>
          </w:p>
        </w:tc>
        <w:tc>
          <w:tcPr>
            <w:tcW w:w="5844" w:type="dxa"/>
          </w:tcPr>
          <w:p w:rsidR="00D44AFE" w:rsidRPr="006D30A3" w:rsidRDefault="00D44AFE" w:rsidP="006D30A3">
            <w:pPr>
              <w:pStyle w:val="ListParagraph"/>
              <w:spacing w:before="120"/>
              <w:ind w:left="0"/>
              <w:contextualSpacing w:val="0"/>
            </w:pPr>
            <w:r>
              <w:t xml:space="preserve">Error which is corrected in the PR dashboard. No vacant key management positions. </w:t>
            </w:r>
          </w:p>
        </w:tc>
      </w:tr>
      <w:tr w:rsidR="00D44AFE" w:rsidTr="00B8440B">
        <w:tc>
          <w:tcPr>
            <w:tcW w:w="1056" w:type="dxa"/>
          </w:tcPr>
          <w:p w:rsidR="00D44AFE" w:rsidRDefault="00D44AFE" w:rsidP="00B8440B">
            <w:pPr>
              <w:pStyle w:val="ListParagraph"/>
              <w:spacing w:before="120"/>
              <w:ind w:left="0"/>
              <w:contextualSpacing w:val="0"/>
              <w:jc w:val="both"/>
              <w:rPr>
                <w:b/>
              </w:rPr>
            </w:pPr>
            <w:r>
              <w:rPr>
                <w:b/>
              </w:rPr>
              <w:t>M3</w:t>
            </w:r>
          </w:p>
        </w:tc>
        <w:tc>
          <w:tcPr>
            <w:tcW w:w="2693" w:type="dxa"/>
          </w:tcPr>
          <w:p w:rsidR="00D44AFE" w:rsidRPr="006D30A3" w:rsidRDefault="00D44AFE" w:rsidP="006D30A3">
            <w:pPr>
              <w:pStyle w:val="ListParagraph"/>
              <w:spacing w:before="120"/>
              <w:ind w:left="0"/>
              <w:contextualSpacing w:val="0"/>
            </w:pPr>
            <w:r>
              <w:t>SR results, first experiences?</w:t>
            </w:r>
          </w:p>
        </w:tc>
        <w:tc>
          <w:tcPr>
            <w:tcW w:w="5844" w:type="dxa"/>
          </w:tcPr>
          <w:p w:rsidR="00D44AFE" w:rsidRPr="006D30A3" w:rsidRDefault="00D44AFE" w:rsidP="00D44AFE">
            <w:pPr>
              <w:pStyle w:val="ListParagraph"/>
              <w:spacing w:before="120"/>
              <w:ind w:left="0"/>
              <w:contextualSpacing w:val="0"/>
            </w:pPr>
            <w:r>
              <w:t xml:space="preserve">Late initial release of funds. NGOs achieved results expected. Peer educators need more visual aids. </w:t>
            </w:r>
          </w:p>
        </w:tc>
      </w:tr>
      <w:tr w:rsidR="00D44AFE" w:rsidTr="00B8440B">
        <w:tc>
          <w:tcPr>
            <w:tcW w:w="1056" w:type="dxa"/>
          </w:tcPr>
          <w:p w:rsidR="00D44AFE" w:rsidRDefault="00D44AFE" w:rsidP="00B8440B">
            <w:pPr>
              <w:pStyle w:val="ListParagraph"/>
              <w:spacing w:before="120"/>
              <w:ind w:left="0"/>
              <w:contextualSpacing w:val="0"/>
              <w:jc w:val="both"/>
              <w:rPr>
                <w:b/>
              </w:rPr>
            </w:pPr>
            <w:r>
              <w:rPr>
                <w:b/>
              </w:rPr>
              <w:t>M5</w:t>
            </w:r>
          </w:p>
        </w:tc>
        <w:tc>
          <w:tcPr>
            <w:tcW w:w="2693" w:type="dxa"/>
          </w:tcPr>
          <w:p w:rsidR="00D44AFE" w:rsidRDefault="00D44AFE" w:rsidP="006D30A3">
            <w:pPr>
              <w:pStyle w:val="ListParagraph"/>
              <w:spacing w:before="120"/>
              <w:ind w:left="0"/>
              <w:contextualSpacing w:val="0"/>
            </w:pPr>
            <w:r>
              <w:t xml:space="preserve">Low </w:t>
            </w:r>
            <w:proofErr w:type="spellStart"/>
            <w:r>
              <w:t>artensunate</w:t>
            </w:r>
            <w:proofErr w:type="spellEnd"/>
            <w:r>
              <w:t xml:space="preserve"> suppositories in regions, also central</w:t>
            </w:r>
          </w:p>
          <w:p w:rsidR="00D44AFE" w:rsidRDefault="00D44AFE" w:rsidP="00D44AFE">
            <w:pPr>
              <w:pStyle w:val="ListParagraph"/>
              <w:spacing w:before="120"/>
              <w:ind w:left="0"/>
              <w:contextualSpacing w:val="0"/>
            </w:pPr>
            <w:r>
              <w:t xml:space="preserve">Regional stock out of SPs </w:t>
            </w:r>
          </w:p>
          <w:p w:rsidR="00D44AFE" w:rsidRDefault="00D44AFE" w:rsidP="00D44AFE">
            <w:pPr>
              <w:pStyle w:val="ListParagraph"/>
              <w:ind w:left="0"/>
              <w:contextualSpacing w:val="0"/>
            </w:pPr>
          </w:p>
          <w:p w:rsidR="00D44AFE" w:rsidRDefault="00D44AFE" w:rsidP="00D44AFE">
            <w:pPr>
              <w:pStyle w:val="ListParagraph"/>
              <w:spacing w:before="120"/>
              <w:ind w:left="0"/>
              <w:contextualSpacing w:val="0"/>
            </w:pPr>
          </w:p>
          <w:p w:rsidR="00D44AFE" w:rsidRPr="006D30A3" w:rsidRDefault="00D44AFE" w:rsidP="00D44AFE">
            <w:pPr>
              <w:pStyle w:val="ListParagraph"/>
              <w:ind w:left="0"/>
              <w:contextualSpacing w:val="0"/>
            </w:pPr>
            <w:r>
              <w:t xml:space="preserve">Low regional stock of RDTs </w:t>
            </w:r>
          </w:p>
        </w:tc>
        <w:tc>
          <w:tcPr>
            <w:tcW w:w="5844" w:type="dxa"/>
          </w:tcPr>
          <w:p w:rsidR="00D44AFE" w:rsidRDefault="00D44AFE" w:rsidP="006D30A3">
            <w:pPr>
              <w:pStyle w:val="ListParagraph"/>
              <w:spacing w:before="120"/>
              <w:ind w:left="0"/>
              <w:contextualSpacing w:val="0"/>
            </w:pPr>
            <w:r>
              <w:t xml:space="preserve">200mg not coming. </w:t>
            </w:r>
            <w:proofErr w:type="spellStart"/>
            <w:r>
              <w:t>Programme</w:t>
            </w:r>
            <w:proofErr w:type="spellEnd"/>
            <w:r>
              <w:t xml:space="preserve"> canceled and converted to 50mg. Procured by USAID, not GF commodity. </w:t>
            </w:r>
          </w:p>
          <w:p w:rsidR="00D44AFE" w:rsidRDefault="00D44AFE" w:rsidP="006D30A3">
            <w:pPr>
              <w:pStyle w:val="ListParagraph"/>
              <w:spacing w:before="120"/>
              <w:ind w:left="0"/>
              <w:contextualSpacing w:val="0"/>
            </w:pPr>
          </w:p>
          <w:p w:rsidR="00D44AFE" w:rsidRDefault="00D44AFE" w:rsidP="00D44AFE">
            <w:pPr>
              <w:pStyle w:val="ListParagraph"/>
              <w:ind w:left="0"/>
              <w:contextualSpacing w:val="0"/>
            </w:pPr>
            <w:r>
              <w:t>SPs procured by PMI have arrived and will be distributed shortly. No new information about quality problems and way forward regarding locally procured SPs.</w:t>
            </w:r>
          </w:p>
          <w:p w:rsidR="00D44AFE" w:rsidRPr="006D30A3" w:rsidRDefault="00D44AFE" w:rsidP="006D30A3">
            <w:pPr>
              <w:pStyle w:val="ListParagraph"/>
              <w:spacing w:before="120"/>
              <w:ind w:left="0"/>
              <w:contextualSpacing w:val="0"/>
            </w:pPr>
            <w:r>
              <w:t>Solved with current scheduled delivery</w:t>
            </w:r>
          </w:p>
        </w:tc>
      </w:tr>
    </w:tbl>
    <w:p w:rsidR="00F13BBA" w:rsidRDefault="00F13BBA" w:rsidP="00671CBC">
      <w:pPr>
        <w:pStyle w:val="ListParagraph"/>
        <w:numPr>
          <w:ilvl w:val="0"/>
          <w:numId w:val="5"/>
        </w:numPr>
        <w:spacing w:before="360" w:after="120"/>
        <w:ind w:left="357" w:hanging="357"/>
        <w:contextualSpacing w:val="0"/>
        <w:jc w:val="both"/>
        <w:rPr>
          <w:b/>
        </w:rPr>
      </w:pPr>
      <w:r w:rsidRPr="00F13BBA">
        <w:rPr>
          <w:b/>
        </w:rPr>
        <w:t>Programmatic Indicators:</w:t>
      </w:r>
    </w:p>
    <w:tbl>
      <w:tblPr>
        <w:tblStyle w:val="TableGrid"/>
        <w:tblW w:w="0" w:type="auto"/>
        <w:tblInd w:w="357" w:type="dxa"/>
        <w:tblLook w:val="04A0" w:firstRow="1" w:lastRow="0" w:firstColumn="1" w:lastColumn="0" w:noHBand="0" w:noVBand="1"/>
      </w:tblPr>
      <w:tblGrid>
        <w:gridCol w:w="2048"/>
        <w:gridCol w:w="2268"/>
        <w:gridCol w:w="5109"/>
      </w:tblGrid>
      <w:tr w:rsidR="00277FE1" w:rsidTr="009A295B">
        <w:tc>
          <w:tcPr>
            <w:tcW w:w="2048" w:type="dxa"/>
          </w:tcPr>
          <w:p w:rsidR="00277FE1" w:rsidRDefault="00277FE1" w:rsidP="009A295B">
            <w:pPr>
              <w:pStyle w:val="ListParagraph"/>
              <w:spacing w:before="120"/>
              <w:ind w:left="0"/>
              <w:contextualSpacing w:val="0"/>
              <w:rPr>
                <w:b/>
              </w:rPr>
            </w:pPr>
            <w:r>
              <w:rPr>
                <w:b/>
              </w:rPr>
              <w:t>Indicator</w:t>
            </w:r>
          </w:p>
        </w:tc>
        <w:tc>
          <w:tcPr>
            <w:tcW w:w="2268" w:type="dxa"/>
          </w:tcPr>
          <w:p w:rsidR="00277FE1" w:rsidRDefault="00277FE1" w:rsidP="009A295B">
            <w:pPr>
              <w:pStyle w:val="ListParagraph"/>
              <w:spacing w:before="120"/>
              <w:ind w:left="0"/>
              <w:contextualSpacing w:val="0"/>
              <w:rPr>
                <w:b/>
              </w:rPr>
            </w:pPr>
            <w:r>
              <w:rPr>
                <w:b/>
              </w:rPr>
              <w:t xml:space="preserve">Observation  </w:t>
            </w:r>
          </w:p>
        </w:tc>
        <w:tc>
          <w:tcPr>
            <w:tcW w:w="5109" w:type="dxa"/>
          </w:tcPr>
          <w:p w:rsidR="00277FE1" w:rsidRDefault="00277FE1" w:rsidP="009A295B">
            <w:pPr>
              <w:pStyle w:val="ListParagraph"/>
              <w:spacing w:before="120"/>
              <w:ind w:left="0"/>
              <w:contextualSpacing w:val="0"/>
              <w:rPr>
                <w:b/>
              </w:rPr>
            </w:pPr>
            <w:r>
              <w:rPr>
                <w:b/>
              </w:rPr>
              <w:t xml:space="preserve">Answer / Decision </w:t>
            </w:r>
          </w:p>
        </w:tc>
      </w:tr>
      <w:tr w:rsidR="00277FE1" w:rsidTr="009A295B">
        <w:tc>
          <w:tcPr>
            <w:tcW w:w="2048" w:type="dxa"/>
          </w:tcPr>
          <w:p w:rsidR="00277FE1" w:rsidRDefault="00277FE1" w:rsidP="009A295B">
            <w:pPr>
              <w:pStyle w:val="ListParagraph"/>
              <w:spacing w:before="120"/>
              <w:ind w:left="0"/>
              <w:contextualSpacing w:val="0"/>
              <w:rPr>
                <w:b/>
              </w:rPr>
            </w:pPr>
            <w:r>
              <w:rPr>
                <w:b/>
              </w:rPr>
              <w:t xml:space="preserve">Pr1: </w:t>
            </w:r>
            <w:r>
              <w:t>% estimated cases with ACTs at health facilities</w:t>
            </w:r>
          </w:p>
        </w:tc>
        <w:tc>
          <w:tcPr>
            <w:tcW w:w="2268" w:type="dxa"/>
          </w:tcPr>
          <w:p w:rsidR="00277FE1" w:rsidRPr="00FE25D7" w:rsidRDefault="00277FE1" w:rsidP="009A295B">
            <w:pPr>
              <w:pStyle w:val="ListParagraph"/>
              <w:spacing w:before="120"/>
              <w:ind w:left="0"/>
              <w:contextualSpacing w:val="0"/>
            </w:pPr>
            <w:r>
              <w:t>Indicator target adjusted?</w:t>
            </w:r>
          </w:p>
        </w:tc>
        <w:tc>
          <w:tcPr>
            <w:tcW w:w="5109" w:type="dxa"/>
          </w:tcPr>
          <w:p w:rsidR="00277FE1" w:rsidRPr="00FE25D7" w:rsidRDefault="00884549" w:rsidP="000C0DBC">
            <w:pPr>
              <w:pStyle w:val="ListParagraph"/>
              <w:spacing w:before="120"/>
              <w:ind w:left="0"/>
            </w:pPr>
            <w:r>
              <w:t xml:space="preserve">Result </w:t>
            </w:r>
            <w:r w:rsidR="00D44AFE">
              <w:t>based on</w:t>
            </w:r>
            <w:r>
              <w:t xml:space="preserve"> Number of people put on ACT divided by estimated </w:t>
            </w:r>
            <w:r w:rsidR="00D44AFE">
              <w:t xml:space="preserve">(target) </w:t>
            </w:r>
            <w:r>
              <w:t xml:space="preserve">number of people suspected to have malaria. </w:t>
            </w:r>
            <w:r w:rsidR="00D44AFE">
              <w:t>Before, actual number of people with suspected malaria was used. CCM will follow up as the previous definition seems to be more reasonable.</w:t>
            </w:r>
            <w:r w:rsidR="000C0DBC">
              <w:t xml:space="preserve"> Denominator is not fix but fluctuates with malaria seasonality</w:t>
            </w:r>
            <w:r w:rsidR="00D44AFE">
              <w:t xml:space="preserve"> </w:t>
            </w:r>
            <w:r>
              <w:t>and preventive impact (more prevention &gt;&gt; less people with fever and other malaria symptoms)</w:t>
            </w:r>
            <w:r w:rsidR="000C0DBC">
              <w:t xml:space="preserve"> </w:t>
            </w:r>
            <w:r w:rsidR="00277FE1">
              <w:tab/>
              <w:t xml:space="preserve"> </w:t>
            </w:r>
          </w:p>
        </w:tc>
      </w:tr>
      <w:tr w:rsidR="00277FE1" w:rsidTr="009A295B">
        <w:tc>
          <w:tcPr>
            <w:tcW w:w="2048" w:type="dxa"/>
          </w:tcPr>
          <w:p w:rsidR="00277FE1" w:rsidRDefault="00277FE1" w:rsidP="009A295B">
            <w:pPr>
              <w:pStyle w:val="ListParagraph"/>
              <w:spacing w:before="120"/>
              <w:ind w:left="0"/>
              <w:contextualSpacing w:val="0"/>
              <w:rPr>
                <w:b/>
              </w:rPr>
            </w:pPr>
            <w:r>
              <w:rPr>
                <w:b/>
              </w:rPr>
              <w:t xml:space="preserve">Pr2: </w:t>
            </w:r>
            <w:r>
              <w:t xml:space="preserve">% pregnant women with 3+ doses of </w:t>
            </w:r>
            <w:proofErr w:type="spellStart"/>
            <w:r>
              <w:t>IPTp</w:t>
            </w:r>
            <w:proofErr w:type="spellEnd"/>
          </w:p>
        </w:tc>
        <w:tc>
          <w:tcPr>
            <w:tcW w:w="2268" w:type="dxa"/>
          </w:tcPr>
          <w:p w:rsidR="00277FE1" w:rsidRPr="00FE25D7" w:rsidRDefault="00277FE1" w:rsidP="00277FE1">
            <w:pPr>
              <w:pStyle w:val="ListParagraph"/>
              <w:spacing w:before="120"/>
              <w:ind w:left="0"/>
              <w:contextualSpacing w:val="0"/>
            </w:pPr>
            <w:r>
              <w:t>Further drop to 37%, Q4: 41%, Q3: 51%</w:t>
            </w:r>
          </w:p>
        </w:tc>
        <w:tc>
          <w:tcPr>
            <w:tcW w:w="5109" w:type="dxa"/>
          </w:tcPr>
          <w:p w:rsidR="00277FE1" w:rsidRPr="00FE25D7" w:rsidRDefault="000C0DBC" w:rsidP="000C0DBC">
            <w:pPr>
              <w:pStyle w:val="ListParagraph"/>
              <w:spacing w:before="120"/>
              <w:ind w:left="0"/>
              <w:contextualSpacing w:val="0"/>
            </w:pPr>
            <w:r>
              <w:t xml:space="preserve">SPs are stocked out. Deliver from local manufacturer was rejected due to quality issues and not replaced yet. SPs are given out free of </w:t>
            </w:r>
            <w:proofErr w:type="gramStart"/>
            <w:r>
              <w:t>charge,</w:t>
            </w:r>
            <w:proofErr w:type="gramEnd"/>
            <w:r>
              <w:t xml:space="preserve"> cost is not reimbursed by NHIS. Health facilities do thus not have an economic interest in purchasing SPs on the market using their IGR. NMCP engages in advocacy, especially since SPs are rather inexpensive</w:t>
            </w:r>
            <w:r w:rsidR="005429D6">
              <w:t xml:space="preserve">. Not all SPs given out are documented. </w:t>
            </w:r>
            <w:r>
              <w:t xml:space="preserve"> </w:t>
            </w:r>
          </w:p>
        </w:tc>
      </w:tr>
      <w:tr w:rsidR="00277FE1" w:rsidTr="009A295B">
        <w:tc>
          <w:tcPr>
            <w:tcW w:w="2048" w:type="dxa"/>
          </w:tcPr>
          <w:p w:rsidR="00277FE1" w:rsidRDefault="00277FE1" w:rsidP="009A295B">
            <w:pPr>
              <w:pStyle w:val="ListParagraph"/>
              <w:spacing w:before="120"/>
              <w:ind w:left="0"/>
              <w:contextualSpacing w:val="0"/>
              <w:rPr>
                <w:b/>
              </w:rPr>
            </w:pPr>
            <w:r>
              <w:rPr>
                <w:b/>
              </w:rPr>
              <w:t>Pr5:</w:t>
            </w:r>
            <w:r>
              <w:t xml:space="preserve"> % suspected </w:t>
            </w:r>
            <w:r>
              <w:lastRenderedPageBreak/>
              <w:t xml:space="preserve">malaria cases that receive RDT </w:t>
            </w:r>
          </w:p>
        </w:tc>
        <w:tc>
          <w:tcPr>
            <w:tcW w:w="2268" w:type="dxa"/>
          </w:tcPr>
          <w:p w:rsidR="00277FE1" w:rsidRPr="00FE25D7" w:rsidRDefault="00E0577C" w:rsidP="009A295B">
            <w:pPr>
              <w:pStyle w:val="ListParagraph"/>
              <w:spacing w:before="120"/>
              <w:ind w:left="0"/>
              <w:contextualSpacing w:val="0"/>
            </w:pPr>
            <w:r>
              <w:lastRenderedPageBreak/>
              <w:t xml:space="preserve">Continuous small </w:t>
            </w:r>
            <w:r>
              <w:lastRenderedPageBreak/>
              <w:t xml:space="preserve">increase by 1% each Q. Can’t we increase even more? </w:t>
            </w:r>
          </w:p>
        </w:tc>
        <w:tc>
          <w:tcPr>
            <w:tcW w:w="5109" w:type="dxa"/>
          </w:tcPr>
          <w:p w:rsidR="00277FE1" w:rsidRPr="00FE25D7" w:rsidRDefault="000C0DBC" w:rsidP="000C0DBC">
            <w:pPr>
              <w:pStyle w:val="ListParagraph"/>
              <w:spacing w:before="120"/>
              <w:ind w:left="0"/>
              <w:contextualSpacing w:val="0"/>
            </w:pPr>
            <w:r>
              <w:lastRenderedPageBreak/>
              <w:t xml:space="preserve">Great improvements in the past. We will further </w:t>
            </w:r>
            <w:r>
              <w:lastRenderedPageBreak/>
              <w:t>improve.</w:t>
            </w:r>
          </w:p>
        </w:tc>
      </w:tr>
      <w:tr w:rsidR="00277FE1" w:rsidTr="009A295B">
        <w:tc>
          <w:tcPr>
            <w:tcW w:w="2048" w:type="dxa"/>
          </w:tcPr>
          <w:p w:rsidR="00277FE1" w:rsidRPr="00B06EAB" w:rsidRDefault="00277FE1" w:rsidP="009A295B">
            <w:pPr>
              <w:pStyle w:val="ListParagraph"/>
              <w:spacing w:before="120"/>
              <w:ind w:left="0"/>
              <w:contextualSpacing w:val="0"/>
            </w:pPr>
            <w:r>
              <w:rPr>
                <w:b/>
              </w:rPr>
              <w:lastRenderedPageBreak/>
              <w:t xml:space="preserve">Pr7: </w:t>
            </w:r>
            <w:r>
              <w:t># children under 5 with ACTs at community level</w:t>
            </w:r>
          </w:p>
        </w:tc>
        <w:tc>
          <w:tcPr>
            <w:tcW w:w="2268" w:type="dxa"/>
          </w:tcPr>
          <w:p w:rsidR="00277FE1" w:rsidRPr="00FE25D7" w:rsidRDefault="000C0DBC" w:rsidP="009A295B">
            <w:pPr>
              <w:pStyle w:val="ListParagraph"/>
              <w:spacing w:before="120"/>
              <w:ind w:left="0"/>
              <w:contextualSpacing w:val="0"/>
            </w:pPr>
            <w:r>
              <w:t>Deleted indicator</w:t>
            </w:r>
          </w:p>
        </w:tc>
        <w:tc>
          <w:tcPr>
            <w:tcW w:w="5109" w:type="dxa"/>
          </w:tcPr>
          <w:p w:rsidR="00277FE1" w:rsidRPr="00FE25D7" w:rsidRDefault="00277FE1" w:rsidP="009A295B">
            <w:pPr>
              <w:pStyle w:val="ListParagraph"/>
              <w:spacing w:before="120"/>
              <w:ind w:left="0"/>
              <w:contextualSpacing w:val="0"/>
            </w:pPr>
          </w:p>
        </w:tc>
      </w:tr>
    </w:tbl>
    <w:p w:rsidR="00935525" w:rsidRPr="00935525" w:rsidRDefault="008260F3" w:rsidP="004F44DC">
      <w:pPr>
        <w:pStyle w:val="ListParagraph"/>
        <w:numPr>
          <w:ilvl w:val="0"/>
          <w:numId w:val="5"/>
        </w:numPr>
        <w:spacing w:before="240" w:after="120"/>
        <w:ind w:left="357" w:hanging="357"/>
        <w:contextualSpacing w:val="0"/>
        <w:jc w:val="both"/>
      </w:pPr>
      <w:r w:rsidRPr="00414A40">
        <w:rPr>
          <w:b/>
        </w:rPr>
        <w:t>Recommendations</w:t>
      </w:r>
      <w:r w:rsidR="00935525">
        <w:rPr>
          <w:b/>
        </w:rPr>
        <w:t xml:space="preserve">: </w:t>
      </w:r>
    </w:p>
    <w:p w:rsidR="008260F3" w:rsidRDefault="00935525" w:rsidP="00402A50">
      <w:pPr>
        <w:pStyle w:val="ListParagraph"/>
        <w:numPr>
          <w:ilvl w:val="0"/>
          <w:numId w:val="10"/>
        </w:numPr>
        <w:spacing w:after="0"/>
        <w:contextualSpacing w:val="0"/>
        <w:jc w:val="both"/>
      </w:pPr>
      <w:r w:rsidRPr="00935525">
        <w:t>Re</w:t>
      </w:r>
      <w:r w:rsidR="000C0DBC">
        <w:t xml:space="preserve">view new definitions </w:t>
      </w:r>
      <w:r w:rsidR="006B3A8B">
        <w:t xml:space="preserve">of certain </w:t>
      </w:r>
      <w:r w:rsidR="000C0DBC">
        <w:t>programmatic indicators and consider adopting the previous ones</w:t>
      </w:r>
      <w:r>
        <w:t xml:space="preserve"> </w:t>
      </w:r>
    </w:p>
    <w:p w:rsidR="00DC6AEE" w:rsidRDefault="00DC6AEE" w:rsidP="00402A50">
      <w:pPr>
        <w:pStyle w:val="ListParagraph"/>
        <w:numPr>
          <w:ilvl w:val="0"/>
          <w:numId w:val="10"/>
        </w:numPr>
        <w:spacing w:after="0"/>
        <w:contextualSpacing w:val="0"/>
        <w:jc w:val="both"/>
      </w:pPr>
      <w:r>
        <w:t>Follow up on locally procured SP (CCM)</w:t>
      </w:r>
    </w:p>
    <w:p w:rsidR="00402A50" w:rsidRDefault="00402A50" w:rsidP="00402A50">
      <w:pPr>
        <w:pStyle w:val="ListParagraph"/>
        <w:numPr>
          <w:ilvl w:val="0"/>
          <w:numId w:val="10"/>
        </w:numPr>
        <w:spacing w:after="0"/>
        <w:contextualSpacing w:val="0"/>
        <w:jc w:val="both"/>
      </w:pPr>
      <w:r>
        <w:t>Improve documentation of SP uptake</w:t>
      </w:r>
      <w:r w:rsidR="006B3A8B">
        <w:t xml:space="preserve"> (NMCP)</w:t>
      </w:r>
    </w:p>
    <w:p w:rsidR="008735F8" w:rsidRDefault="008735F8" w:rsidP="00402A50">
      <w:pPr>
        <w:pStyle w:val="ListParagraph"/>
        <w:numPr>
          <w:ilvl w:val="0"/>
          <w:numId w:val="10"/>
        </w:numPr>
        <w:spacing w:after="0"/>
        <w:contextualSpacing w:val="0"/>
        <w:jc w:val="both"/>
      </w:pPr>
      <w:r>
        <w:t xml:space="preserve">NMCP requested to print more </w:t>
      </w:r>
      <w:r w:rsidR="005429D6">
        <w:t>IEC/</w:t>
      </w:r>
      <w:r>
        <w:t xml:space="preserve">BCC materials </w:t>
      </w:r>
      <w:r w:rsidR="00F76E41">
        <w:t xml:space="preserve">(e.g. flip charts) </w:t>
      </w:r>
      <w:r>
        <w:t>for implementing NGOs</w:t>
      </w:r>
    </w:p>
    <w:p w:rsidR="00F76E41" w:rsidRPr="00935525" w:rsidRDefault="00F76E41" w:rsidP="00402A50">
      <w:pPr>
        <w:pStyle w:val="ListParagraph"/>
        <w:numPr>
          <w:ilvl w:val="0"/>
          <w:numId w:val="10"/>
        </w:numPr>
        <w:spacing w:after="0"/>
        <w:contextualSpacing w:val="0"/>
        <w:jc w:val="both"/>
      </w:pPr>
      <w:r>
        <w:t>NMCP requested to consider preventive and curative services in prisons</w:t>
      </w:r>
      <w:r w:rsidR="006B3A8B">
        <w:t xml:space="preserve"> (see finding from site visit)</w:t>
      </w:r>
    </w:p>
    <w:p w:rsidR="008260F3" w:rsidRDefault="00277FE1" w:rsidP="008260F3">
      <w:pPr>
        <w:pStyle w:val="ListParagraph"/>
        <w:numPr>
          <w:ilvl w:val="0"/>
          <w:numId w:val="1"/>
        </w:numPr>
        <w:spacing w:before="240"/>
        <w:ind w:left="357" w:hanging="357"/>
        <w:contextualSpacing w:val="0"/>
        <w:jc w:val="both"/>
        <w:rPr>
          <w:b/>
          <w:sz w:val="24"/>
          <w:szCs w:val="24"/>
        </w:rPr>
      </w:pPr>
      <w:r>
        <w:rPr>
          <w:b/>
          <w:sz w:val="24"/>
          <w:szCs w:val="24"/>
        </w:rPr>
        <w:t>AGA Mal</w:t>
      </w:r>
      <w:r w:rsidR="00962157">
        <w:rPr>
          <w:b/>
          <w:sz w:val="24"/>
          <w:szCs w:val="24"/>
        </w:rPr>
        <w:t xml:space="preserve"> Dash Board</w:t>
      </w:r>
    </w:p>
    <w:p w:rsidR="006B3A8B" w:rsidRPr="006B3A8B" w:rsidRDefault="006B3A8B" w:rsidP="006B3A8B">
      <w:pPr>
        <w:pStyle w:val="ListParagraph"/>
        <w:spacing w:before="240"/>
        <w:ind w:left="357"/>
        <w:contextualSpacing w:val="0"/>
        <w:jc w:val="both"/>
      </w:pPr>
      <w:r w:rsidRPr="006B3A8B">
        <w:t xml:space="preserve">Considering </w:t>
      </w:r>
      <w:r>
        <w:t xml:space="preserve">that IRS started in April 2016 only and the subsequent lack of programmatic achievements during the period under review, AGA Mal was exempted from participating in the OC meeting. The OC called AGA Mal for a clarification on F1. </w:t>
      </w:r>
    </w:p>
    <w:p w:rsidR="00F13BBA" w:rsidRPr="00962157" w:rsidRDefault="00F13BBA" w:rsidP="00C333FE">
      <w:pPr>
        <w:pStyle w:val="ListParagraph"/>
        <w:numPr>
          <w:ilvl w:val="0"/>
          <w:numId w:val="11"/>
        </w:numPr>
        <w:spacing w:before="240" w:after="120"/>
        <w:contextualSpacing w:val="0"/>
        <w:jc w:val="both"/>
        <w:rPr>
          <w:b/>
        </w:rPr>
      </w:pPr>
      <w:r w:rsidRPr="00962157">
        <w:rPr>
          <w:b/>
        </w:rPr>
        <w:t>Financial Indicators:</w:t>
      </w:r>
    </w:p>
    <w:tbl>
      <w:tblPr>
        <w:tblStyle w:val="TableGrid"/>
        <w:tblW w:w="0" w:type="auto"/>
        <w:tblInd w:w="357" w:type="dxa"/>
        <w:tblLayout w:type="fixed"/>
        <w:tblLook w:val="04A0" w:firstRow="1" w:lastRow="0" w:firstColumn="1" w:lastColumn="0" w:noHBand="0" w:noVBand="1"/>
      </w:tblPr>
      <w:tblGrid>
        <w:gridCol w:w="1056"/>
        <w:gridCol w:w="2693"/>
        <w:gridCol w:w="5676"/>
      </w:tblGrid>
      <w:tr w:rsidR="00671CBC" w:rsidTr="00B06EAB">
        <w:tc>
          <w:tcPr>
            <w:tcW w:w="1056" w:type="dxa"/>
          </w:tcPr>
          <w:p w:rsidR="00671CBC" w:rsidRDefault="00671CBC" w:rsidP="009819A7">
            <w:pPr>
              <w:pStyle w:val="ListParagraph"/>
              <w:spacing w:before="120"/>
              <w:ind w:left="0"/>
              <w:contextualSpacing w:val="0"/>
              <w:rPr>
                <w:b/>
              </w:rPr>
            </w:pPr>
            <w:r>
              <w:rPr>
                <w:b/>
              </w:rPr>
              <w:t>Indicator</w:t>
            </w:r>
          </w:p>
        </w:tc>
        <w:tc>
          <w:tcPr>
            <w:tcW w:w="2693" w:type="dxa"/>
          </w:tcPr>
          <w:p w:rsidR="00671CBC" w:rsidRDefault="00671CBC" w:rsidP="009819A7">
            <w:pPr>
              <w:pStyle w:val="ListParagraph"/>
              <w:spacing w:before="120"/>
              <w:ind w:left="0"/>
              <w:contextualSpacing w:val="0"/>
              <w:rPr>
                <w:b/>
              </w:rPr>
            </w:pPr>
            <w:r>
              <w:rPr>
                <w:b/>
              </w:rPr>
              <w:t xml:space="preserve">Observation </w:t>
            </w:r>
          </w:p>
        </w:tc>
        <w:tc>
          <w:tcPr>
            <w:tcW w:w="5676" w:type="dxa"/>
          </w:tcPr>
          <w:p w:rsidR="00671CBC" w:rsidRDefault="00671CBC" w:rsidP="009819A7">
            <w:pPr>
              <w:pStyle w:val="ListParagraph"/>
              <w:spacing w:before="120"/>
              <w:ind w:left="0"/>
              <w:contextualSpacing w:val="0"/>
              <w:rPr>
                <w:b/>
              </w:rPr>
            </w:pPr>
            <w:r>
              <w:rPr>
                <w:b/>
              </w:rPr>
              <w:t xml:space="preserve">Answer / Decision </w:t>
            </w:r>
          </w:p>
        </w:tc>
      </w:tr>
      <w:tr w:rsidR="00671CBC" w:rsidTr="00B06EAB">
        <w:tc>
          <w:tcPr>
            <w:tcW w:w="1056" w:type="dxa"/>
          </w:tcPr>
          <w:p w:rsidR="00671CBC" w:rsidRPr="009819A7" w:rsidRDefault="0074463B" w:rsidP="009819A7">
            <w:pPr>
              <w:pStyle w:val="ListParagraph"/>
              <w:spacing w:before="120"/>
              <w:ind w:left="0"/>
              <w:contextualSpacing w:val="0"/>
            </w:pPr>
            <w:r>
              <w:rPr>
                <w:b/>
              </w:rPr>
              <w:t>F1</w:t>
            </w:r>
            <w:r w:rsidR="009819A7">
              <w:rPr>
                <w:b/>
              </w:rPr>
              <w:t>:</w:t>
            </w:r>
            <w:r w:rsidR="009819A7">
              <w:tab/>
            </w:r>
          </w:p>
        </w:tc>
        <w:tc>
          <w:tcPr>
            <w:tcW w:w="2693" w:type="dxa"/>
          </w:tcPr>
          <w:p w:rsidR="00671CBC" w:rsidRPr="0074463B" w:rsidRDefault="005429D6" w:rsidP="00567056">
            <w:pPr>
              <w:pStyle w:val="ListParagraph"/>
              <w:spacing w:before="120"/>
              <w:ind w:left="0"/>
              <w:contextualSpacing w:val="0"/>
            </w:pPr>
            <w:r>
              <w:t>B</w:t>
            </w:r>
            <w:r w:rsidR="00567056">
              <w:t>udget</w:t>
            </w:r>
            <w:r w:rsidR="00C35F9F">
              <w:t xml:space="preserve"> </w:t>
            </w:r>
            <w:r w:rsidR="00567056">
              <w:t>not yet</w:t>
            </w:r>
            <w:r w:rsidR="00C35F9F">
              <w:t xml:space="preserve"> adjust</w:t>
            </w:r>
            <w:r w:rsidR="00567056">
              <w:t>ed</w:t>
            </w:r>
            <w:r w:rsidR="00C35F9F">
              <w:t xml:space="preserve"> to account for </w:t>
            </w:r>
            <w:r w:rsidR="00F3572A">
              <w:t xml:space="preserve">cash </w:t>
            </w:r>
            <w:r w:rsidR="00567056">
              <w:t>amounts carried over from round 8.</w:t>
            </w:r>
          </w:p>
        </w:tc>
        <w:tc>
          <w:tcPr>
            <w:tcW w:w="5676" w:type="dxa"/>
          </w:tcPr>
          <w:p w:rsidR="00671CBC" w:rsidRPr="0074463B" w:rsidRDefault="00F3572A" w:rsidP="00B72BDB">
            <w:pPr>
              <w:pStyle w:val="ListParagraph"/>
              <w:spacing w:before="120"/>
              <w:ind w:left="0"/>
              <w:contextualSpacing w:val="0"/>
            </w:pPr>
            <w:r>
              <w:t>Amount carried over from previous funding cycle (about 4</w:t>
            </w:r>
            <w:r w:rsidR="00B72BDB">
              <w:t>.5</w:t>
            </w:r>
            <w:r>
              <w:t xml:space="preserve">m USD) </w:t>
            </w:r>
            <w:r w:rsidR="00B72BDB">
              <w:t xml:space="preserve">was </w:t>
            </w:r>
            <w:r>
              <w:t xml:space="preserve">used to pay for insecticides ordered before start of NFM. </w:t>
            </w:r>
            <w:r w:rsidR="00B72BDB">
              <w:t xml:space="preserve">The carry over amount was handled as a disbursement in P1 in the dashboard. </w:t>
            </w:r>
            <w:r>
              <w:t xml:space="preserve">For accounting regulations, it is not possible to add them to the NFM budget. </w:t>
            </w:r>
            <w:r w:rsidR="00B72BDB">
              <w:t>C</w:t>
            </w:r>
            <w:r w:rsidR="00B72BDB">
              <w:t>onsequently</w:t>
            </w:r>
            <w:r w:rsidR="00B72BDB">
              <w:t>, the a</w:t>
            </w:r>
            <w:r w:rsidR="00567056">
              <w:t>ctual burn rate is lower than 92%</w:t>
            </w:r>
            <w:r w:rsidR="00B72BDB">
              <w:t xml:space="preserve"> (about 50%)</w:t>
            </w:r>
            <w:r w:rsidR="00567056">
              <w:t>.</w:t>
            </w:r>
            <w:r w:rsidR="009819A7">
              <w:tab/>
            </w:r>
            <w:r w:rsidR="009819A7">
              <w:tab/>
            </w:r>
          </w:p>
        </w:tc>
      </w:tr>
      <w:tr w:rsidR="0074463B" w:rsidTr="00B06EAB">
        <w:tc>
          <w:tcPr>
            <w:tcW w:w="1056" w:type="dxa"/>
          </w:tcPr>
          <w:p w:rsidR="0074463B" w:rsidRDefault="0074463B" w:rsidP="009819A7">
            <w:pPr>
              <w:pStyle w:val="ListParagraph"/>
              <w:spacing w:before="120"/>
              <w:ind w:left="0"/>
              <w:contextualSpacing w:val="0"/>
              <w:rPr>
                <w:b/>
              </w:rPr>
            </w:pPr>
            <w:r>
              <w:rPr>
                <w:b/>
              </w:rPr>
              <w:t>F2</w:t>
            </w:r>
          </w:p>
        </w:tc>
        <w:tc>
          <w:tcPr>
            <w:tcW w:w="2693" w:type="dxa"/>
          </w:tcPr>
          <w:p w:rsidR="0074463B" w:rsidRPr="0074463B" w:rsidRDefault="003D3B37" w:rsidP="009819A7">
            <w:pPr>
              <w:pStyle w:val="ListParagraph"/>
              <w:ind w:left="0"/>
              <w:contextualSpacing w:val="0"/>
            </w:pPr>
            <w:r>
              <w:t>9% quarterly burn rate</w:t>
            </w:r>
          </w:p>
        </w:tc>
        <w:tc>
          <w:tcPr>
            <w:tcW w:w="5676" w:type="dxa"/>
          </w:tcPr>
          <w:p w:rsidR="002240F4" w:rsidRPr="0074463B" w:rsidRDefault="006B3A8B" w:rsidP="009819A7">
            <w:pPr>
              <w:pStyle w:val="ListParagraph"/>
              <w:spacing w:before="120"/>
              <w:ind w:left="0"/>
              <w:contextualSpacing w:val="0"/>
            </w:pPr>
            <w:r>
              <w:t>Revised budget will be available during next OC meeting</w:t>
            </w:r>
          </w:p>
        </w:tc>
      </w:tr>
    </w:tbl>
    <w:p w:rsidR="008260F3" w:rsidRDefault="008260F3" w:rsidP="005429D6">
      <w:pPr>
        <w:pStyle w:val="ListParagraph"/>
        <w:numPr>
          <w:ilvl w:val="0"/>
          <w:numId w:val="11"/>
        </w:numPr>
        <w:spacing w:before="240" w:after="120"/>
        <w:contextualSpacing w:val="0"/>
        <w:jc w:val="both"/>
        <w:rPr>
          <w:b/>
        </w:rPr>
      </w:pPr>
      <w:r>
        <w:rPr>
          <w:b/>
        </w:rPr>
        <w:t xml:space="preserve">Recommendations </w:t>
      </w:r>
      <w:r w:rsidR="00906F33">
        <w:rPr>
          <w:b/>
        </w:rPr>
        <w:t xml:space="preserve">to </w:t>
      </w:r>
      <w:r w:rsidR="00277FE1">
        <w:rPr>
          <w:b/>
        </w:rPr>
        <w:t>AGA Mal</w:t>
      </w:r>
    </w:p>
    <w:p w:rsidR="006041AA" w:rsidRPr="006B3A8B" w:rsidRDefault="006041AA" w:rsidP="00B72BDB">
      <w:pPr>
        <w:pStyle w:val="ListParagraph"/>
        <w:numPr>
          <w:ilvl w:val="0"/>
          <w:numId w:val="10"/>
        </w:numPr>
        <w:spacing w:after="0"/>
        <w:contextualSpacing w:val="0"/>
        <w:jc w:val="both"/>
      </w:pPr>
      <w:r w:rsidRPr="006B3A8B">
        <w:t>Enhance collaboration with GHS for social mobilization</w:t>
      </w:r>
      <w:r w:rsidR="00B72BDB">
        <w:t xml:space="preserve"> (a district director in UW/R) pointed out that communication prior IRS was perceived as insufficient)</w:t>
      </w:r>
    </w:p>
    <w:p w:rsidR="006041AA" w:rsidRPr="006B3A8B" w:rsidRDefault="006041AA" w:rsidP="00B72BDB">
      <w:pPr>
        <w:pStyle w:val="ListParagraph"/>
        <w:numPr>
          <w:ilvl w:val="0"/>
          <w:numId w:val="10"/>
        </w:numPr>
        <w:spacing w:after="0"/>
        <w:contextualSpacing w:val="0"/>
        <w:jc w:val="both"/>
      </w:pPr>
      <w:r w:rsidRPr="006B3A8B">
        <w:t xml:space="preserve">Consider IRS in prisons </w:t>
      </w:r>
    </w:p>
    <w:p w:rsidR="006041AA" w:rsidRDefault="006041AA" w:rsidP="006041AA">
      <w:pPr>
        <w:pStyle w:val="ListParagraph"/>
        <w:spacing w:before="360" w:after="120"/>
        <w:ind w:left="357"/>
        <w:jc w:val="both"/>
        <w:rPr>
          <w:b/>
        </w:rPr>
      </w:pPr>
    </w:p>
    <w:p w:rsidR="008260F3" w:rsidRDefault="008260F3" w:rsidP="008260F3">
      <w:pPr>
        <w:pStyle w:val="ListParagraph"/>
        <w:ind w:left="360"/>
        <w:jc w:val="both"/>
        <w:rPr>
          <w:b/>
        </w:rPr>
      </w:pPr>
    </w:p>
    <w:p w:rsidR="007D6E1C" w:rsidRPr="00962157" w:rsidRDefault="00962157" w:rsidP="00962157">
      <w:pPr>
        <w:pStyle w:val="ListParagraph"/>
        <w:numPr>
          <w:ilvl w:val="0"/>
          <w:numId w:val="1"/>
        </w:numPr>
        <w:spacing w:before="240"/>
        <w:ind w:left="357" w:hanging="357"/>
        <w:contextualSpacing w:val="0"/>
        <w:jc w:val="both"/>
        <w:rPr>
          <w:b/>
          <w:sz w:val="24"/>
          <w:szCs w:val="24"/>
        </w:rPr>
      </w:pPr>
      <w:r>
        <w:rPr>
          <w:b/>
          <w:sz w:val="24"/>
          <w:szCs w:val="24"/>
        </w:rPr>
        <w:t>Closing</w:t>
      </w:r>
    </w:p>
    <w:p w:rsidR="007D00A0" w:rsidRDefault="007D6E1C" w:rsidP="007D6E1C">
      <w:pPr>
        <w:jc w:val="both"/>
      </w:pPr>
      <w:r>
        <w:t>The meeting came to a close at about</w:t>
      </w:r>
      <w:r w:rsidR="006B3A8B">
        <w:t xml:space="preserve"> </w:t>
      </w:r>
      <w:r w:rsidR="00E04665">
        <w:t>2:45pm</w:t>
      </w:r>
      <w:r w:rsidR="00A66811">
        <w:t>.</w:t>
      </w:r>
    </w:p>
    <w:sectPr w:rsidR="007D00A0" w:rsidSect="007D6E1C">
      <w:headerReference w:type="even" r:id="rId9"/>
      <w:headerReference w:type="default" r:id="rId10"/>
      <w:footerReference w:type="even" r:id="rId11"/>
      <w:footerReference w:type="default" r:id="rId12"/>
      <w:headerReference w:type="first" r:id="rId13"/>
      <w:footerReference w:type="first" r:id="rId14"/>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BE" w:rsidRDefault="003A0EBE" w:rsidP="00C72108">
      <w:pPr>
        <w:spacing w:after="0" w:line="240" w:lineRule="auto"/>
      </w:pPr>
      <w:r>
        <w:separator/>
      </w:r>
    </w:p>
  </w:endnote>
  <w:endnote w:type="continuationSeparator" w:id="0">
    <w:p w:rsidR="003A0EBE" w:rsidRDefault="003A0EBE" w:rsidP="00C7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8" w:rsidRDefault="00C72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90035"/>
      <w:docPartObj>
        <w:docPartGallery w:val="Page Numbers (Bottom of Page)"/>
        <w:docPartUnique/>
      </w:docPartObj>
    </w:sdtPr>
    <w:sdtEndPr/>
    <w:sdtContent>
      <w:p w:rsidR="00C72108" w:rsidRDefault="00C72108">
        <w:pPr>
          <w:pStyle w:val="Footer"/>
          <w:jc w:val="right"/>
        </w:pPr>
        <w:r>
          <w:t xml:space="preserve">Page | </w:t>
        </w:r>
        <w:r>
          <w:fldChar w:fldCharType="begin"/>
        </w:r>
        <w:r>
          <w:instrText xml:space="preserve"> PAGE   \* MERGEFORMAT </w:instrText>
        </w:r>
        <w:r>
          <w:fldChar w:fldCharType="separate"/>
        </w:r>
        <w:r w:rsidR="00FD680A">
          <w:rPr>
            <w:noProof/>
          </w:rPr>
          <w:t>2</w:t>
        </w:r>
        <w:r>
          <w:rPr>
            <w:noProof/>
          </w:rPr>
          <w:fldChar w:fldCharType="end"/>
        </w:r>
        <w:r>
          <w:t xml:space="preserve"> </w:t>
        </w:r>
      </w:p>
    </w:sdtContent>
  </w:sdt>
  <w:p w:rsidR="00C72108" w:rsidRDefault="00C72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8" w:rsidRDefault="00C72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BE" w:rsidRDefault="003A0EBE" w:rsidP="00C72108">
      <w:pPr>
        <w:spacing w:after="0" w:line="240" w:lineRule="auto"/>
      </w:pPr>
      <w:r>
        <w:separator/>
      </w:r>
    </w:p>
  </w:footnote>
  <w:footnote w:type="continuationSeparator" w:id="0">
    <w:p w:rsidR="003A0EBE" w:rsidRDefault="003A0EBE" w:rsidP="00C7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8" w:rsidRDefault="00C72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8" w:rsidRDefault="00C72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08" w:rsidRDefault="00C72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3257"/>
    <w:multiLevelType w:val="hybridMultilevel"/>
    <w:tmpl w:val="C41851A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23F05A7E"/>
    <w:multiLevelType w:val="hybridMultilevel"/>
    <w:tmpl w:val="DA00EF6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nsid w:val="2958519C"/>
    <w:multiLevelType w:val="hybridMultilevel"/>
    <w:tmpl w:val="0570E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A43127"/>
    <w:multiLevelType w:val="hybridMultilevel"/>
    <w:tmpl w:val="C1E4CF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13D87"/>
    <w:multiLevelType w:val="hybridMultilevel"/>
    <w:tmpl w:val="4F3AB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67240"/>
    <w:multiLevelType w:val="hybridMultilevel"/>
    <w:tmpl w:val="C97898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3E763A"/>
    <w:multiLevelType w:val="hybridMultilevel"/>
    <w:tmpl w:val="DBDABE86"/>
    <w:lvl w:ilvl="0" w:tplc="04090001">
      <w:start w:val="1"/>
      <w:numFmt w:val="bullet"/>
      <w:lvlText w:val=""/>
      <w:lvlJc w:val="left"/>
      <w:pPr>
        <w:ind w:left="3930" w:hanging="360"/>
      </w:pPr>
      <w:rPr>
        <w:rFonts w:ascii="Symbol" w:hAnsi="Symbol" w:hint="default"/>
      </w:rPr>
    </w:lvl>
    <w:lvl w:ilvl="1" w:tplc="04090019" w:tentative="1">
      <w:start w:val="1"/>
      <w:numFmt w:val="lowerLetter"/>
      <w:lvlText w:val="%2."/>
      <w:lvlJc w:val="left"/>
      <w:pPr>
        <w:ind w:left="4650" w:hanging="360"/>
      </w:pPr>
    </w:lvl>
    <w:lvl w:ilvl="2" w:tplc="0409001B" w:tentative="1">
      <w:start w:val="1"/>
      <w:numFmt w:val="lowerRoman"/>
      <w:lvlText w:val="%3."/>
      <w:lvlJc w:val="right"/>
      <w:pPr>
        <w:ind w:left="5370" w:hanging="180"/>
      </w:pPr>
    </w:lvl>
    <w:lvl w:ilvl="3" w:tplc="0409000F" w:tentative="1">
      <w:start w:val="1"/>
      <w:numFmt w:val="decimal"/>
      <w:lvlText w:val="%4."/>
      <w:lvlJc w:val="left"/>
      <w:pPr>
        <w:ind w:left="6090" w:hanging="360"/>
      </w:pPr>
    </w:lvl>
    <w:lvl w:ilvl="4" w:tplc="04090019" w:tentative="1">
      <w:start w:val="1"/>
      <w:numFmt w:val="lowerLetter"/>
      <w:lvlText w:val="%5."/>
      <w:lvlJc w:val="left"/>
      <w:pPr>
        <w:ind w:left="6810" w:hanging="360"/>
      </w:pPr>
    </w:lvl>
    <w:lvl w:ilvl="5" w:tplc="0409001B" w:tentative="1">
      <w:start w:val="1"/>
      <w:numFmt w:val="lowerRoman"/>
      <w:lvlText w:val="%6."/>
      <w:lvlJc w:val="right"/>
      <w:pPr>
        <w:ind w:left="7530" w:hanging="180"/>
      </w:pPr>
    </w:lvl>
    <w:lvl w:ilvl="6" w:tplc="0409000F" w:tentative="1">
      <w:start w:val="1"/>
      <w:numFmt w:val="decimal"/>
      <w:lvlText w:val="%7."/>
      <w:lvlJc w:val="left"/>
      <w:pPr>
        <w:ind w:left="8250" w:hanging="360"/>
      </w:pPr>
    </w:lvl>
    <w:lvl w:ilvl="7" w:tplc="04090019" w:tentative="1">
      <w:start w:val="1"/>
      <w:numFmt w:val="lowerLetter"/>
      <w:lvlText w:val="%8."/>
      <w:lvlJc w:val="left"/>
      <w:pPr>
        <w:ind w:left="8970" w:hanging="360"/>
      </w:pPr>
    </w:lvl>
    <w:lvl w:ilvl="8" w:tplc="0409001B" w:tentative="1">
      <w:start w:val="1"/>
      <w:numFmt w:val="lowerRoman"/>
      <w:lvlText w:val="%9."/>
      <w:lvlJc w:val="right"/>
      <w:pPr>
        <w:ind w:left="9690" w:hanging="180"/>
      </w:pPr>
    </w:lvl>
  </w:abstractNum>
  <w:abstractNum w:abstractNumId="7">
    <w:nsid w:val="612C1BF2"/>
    <w:multiLevelType w:val="hybridMultilevel"/>
    <w:tmpl w:val="989AE86C"/>
    <w:lvl w:ilvl="0" w:tplc="CF602F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2B7AB0"/>
    <w:multiLevelType w:val="hybridMultilevel"/>
    <w:tmpl w:val="0632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3D10DE"/>
    <w:multiLevelType w:val="hybridMultilevel"/>
    <w:tmpl w:val="825C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0"/>
  </w:num>
  <w:num w:numId="6">
    <w:abstractNumId w:val="6"/>
  </w:num>
  <w:num w:numId="7">
    <w:abstractNumId w:val="11"/>
  </w:num>
  <w:num w:numId="8">
    <w:abstractNumId w:val="8"/>
  </w:num>
  <w:num w:numId="9">
    <w:abstractNumId w:val="9"/>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47"/>
    <w:rsid w:val="00084F2F"/>
    <w:rsid w:val="000A7353"/>
    <w:rsid w:val="000C0DBC"/>
    <w:rsid w:val="00105A2F"/>
    <w:rsid w:val="00136225"/>
    <w:rsid w:val="00146156"/>
    <w:rsid w:val="001A4E53"/>
    <w:rsid w:val="001A7D1D"/>
    <w:rsid w:val="001B7ECB"/>
    <w:rsid w:val="0022016A"/>
    <w:rsid w:val="002240F4"/>
    <w:rsid w:val="0022688F"/>
    <w:rsid w:val="00226A83"/>
    <w:rsid w:val="002611FF"/>
    <w:rsid w:val="00277FE1"/>
    <w:rsid w:val="002824A1"/>
    <w:rsid w:val="00286C3E"/>
    <w:rsid w:val="00290453"/>
    <w:rsid w:val="002B48B1"/>
    <w:rsid w:val="003530D1"/>
    <w:rsid w:val="0035690A"/>
    <w:rsid w:val="003617E6"/>
    <w:rsid w:val="00365A73"/>
    <w:rsid w:val="00371F42"/>
    <w:rsid w:val="00380223"/>
    <w:rsid w:val="003A0EBE"/>
    <w:rsid w:val="003A6E69"/>
    <w:rsid w:val="003C1350"/>
    <w:rsid w:val="003D3B37"/>
    <w:rsid w:val="00402A50"/>
    <w:rsid w:val="00407BA1"/>
    <w:rsid w:val="00414A40"/>
    <w:rsid w:val="0042023E"/>
    <w:rsid w:val="00476E43"/>
    <w:rsid w:val="004B782B"/>
    <w:rsid w:val="004E3FAA"/>
    <w:rsid w:val="004F0120"/>
    <w:rsid w:val="005006CE"/>
    <w:rsid w:val="00500D63"/>
    <w:rsid w:val="005244A5"/>
    <w:rsid w:val="00530434"/>
    <w:rsid w:val="005429D6"/>
    <w:rsid w:val="00557732"/>
    <w:rsid w:val="00567056"/>
    <w:rsid w:val="005C3FF3"/>
    <w:rsid w:val="006041AA"/>
    <w:rsid w:val="006055FD"/>
    <w:rsid w:val="006123B1"/>
    <w:rsid w:val="00634FA1"/>
    <w:rsid w:val="00641E91"/>
    <w:rsid w:val="00662E2A"/>
    <w:rsid w:val="00671CBC"/>
    <w:rsid w:val="00696B47"/>
    <w:rsid w:val="006B3A8B"/>
    <w:rsid w:val="006C34C0"/>
    <w:rsid w:val="006C39E2"/>
    <w:rsid w:val="006D30A3"/>
    <w:rsid w:val="006F2E0A"/>
    <w:rsid w:val="006F3793"/>
    <w:rsid w:val="0074463B"/>
    <w:rsid w:val="007819BF"/>
    <w:rsid w:val="007A5A0B"/>
    <w:rsid w:val="007B772F"/>
    <w:rsid w:val="007D00A0"/>
    <w:rsid w:val="007D6E1C"/>
    <w:rsid w:val="007E508A"/>
    <w:rsid w:val="007F6544"/>
    <w:rsid w:val="008230EB"/>
    <w:rsid w:val="008260F3"/>
    <w:rsid w:val="008657B7"/>
    <w:rsid w:val="008735F8"/>
    <w:rsid w:val="008812E8"/>
    <w:rsid w:val="00884549"/>
    <w:rsid w:val="008B313D"/>
    <w:rsid w:val="008C026B"/>
    <w:rsid w:val="008C1794"/>
    <w:rsid w:val="00906F33"/>
    <w:rsid w:val="009261B7"/>
    <w:rsid w:val="00934478"/>
    <w:rsid w:val="00935525"/>
    <w:rsid w:val="00943BA5"/>
    <w:rsid w:val="00956F69"/>
    <w:rsid w:val="00962157"/>
    <w:rsid w:val="009819A7"/>
    <w:rsid w:val="009A2235"/>
    <w:rsid w:val="009C234E"/>
    <w:rsid w:val="009C32B5"/>
    <w:rsid w:val="009E3DAE"/>
    <w:rsid w:val="009F13F3"/>
    <w:rsid w:val="009F7571"/>
    <w:rsid w:val="00A226F9"/>
    <w:rsid w:val="00A61F28"/>
    <w:rsid w:val="00A65425"/>
    <w:rsid w:val="00A66811"/>
    <w:rsid w:val="00A90154"/>
    <w:rsid w:val="00AB7956"/>
    <w:rsid w:val="00AC0623"/>
    <w:rsid w:val="00AD5877"/>
    <w:rsid w:val="00B06EAB"/>
    <w:rsid w:val="00B66A64"/>
    <w:rsid w:val="00B72BDB"/>
    <w:rsid w:val="00B72D6E"/>
    <w:rsid w:val="00B7433E"/>
    <w:rsid w:val="00BA2D9B"/>
    <w:rsid w:val="00BA3220"/>
    <w:rsid w:val="00BC716F"/>
    <w:rsid w:val="00BD798F"/>
    <w:rsid w:val="00BF25EA"/>
    <w:rsid w:val="00C2011D"/>
    <w:rsid w:val="00C23D27"/>
    <w:rsid w:val="00C333FE"/>
    <w:rsid w:val="00C34463"/>
    <w:rsid w:val="00C35F9F"/>
    <w:rsid w:val="00C41501"/>
    <w:rsid w:val="00C4333C"/>
    <w:rsid w:val="00C72108"/>
    <w:rsid w:val="00C72C08"/>
    <w:rsid w:val="00CD2A14"/>
    <w:rsid w:val="00D023EF"/>
    <w:rsid w:val="00D03362"/>
    <w:rsid w:val="00D04615"/>
    <w:rsid w:val="00D40BE9"/>
    <w:rsid w:val="00D44AFE"/>
    <w:rsid w:val="00D50041"/>
    <w:rsid w:val="00D61E09"/>
    <w:rsid w:val="00D76D88"/>
    <w:rsid w:val="00D8399F"/>
    <w:rsid w:val="00DC6AEE"/>
    <w:rsid w:val="00E04665"/>
    <w:rsid w:val="00E0577C"/>
    <w:rsid w:val="00E23FA5"/>
    <w:rsid w:val="00E61EC8"/>
    <w:rsid w:val="00E70411"/>
    <w:rsid w:val="00E8761A"/>
    <w:rsid w:val="00EC72C7"/>
    <w:rsid w:val="00ED57F7"/>
    <w:rsid w:val="00EE4E73"/>
    <w:rsid w:val="00F13BBA"/>
    <w:rsid w:val="00F16089"/>
    <w:rsid w:val="00F3572A"/>
    <w:rsid w:val="00F76E41"/>
    <w:rsid w:val="00FA1E79"/>
    <w:rsid w:val="00FB25A2"/>
    <w:rsid w:val="00FC0B6A"/>
    <w:rsid w:val="00FD680A"/>
    <w:rsid w:val="00FD775E"/>
    <w:rsid w:val="00FE25D7"/>
    <w:rsid w:val="00F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108"/>
  </w:style>
  <w:style w:type="paragraph" w:styleId="Footer">
    <w:name w:val="footer"/>
    <w:basedOn w:val="Normal"/>
    <w:link w:val="FooterChar"/>
    <w:uiPriority w:val="99"/>
    <w:unhideWhenUsed/>
    <w:rsid w:val="00C7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108"/>
  </w:style>
  <w:style w:type="paragraph" w:styleId="ListParagraph">
    <w:name w:val="List Paragraph"/>
    <w:basedOn w:val="Normal"/>
    <w:uiPriority w:val="34"/>
    <w:qFormat/>
    <w:rsid w:val="00962157"/>
    <w:pPr>
      <w:ind w:left="720"/>
      <w:contextualSpacing/>
    </w:pPr>
  </w:style>
  <w:style w:type="character" w:styleId="Hyperlink">
    <w:name w:val="Hyperlink"/>
    <w:basedOn w:val="DefaultParagraphFont"/>
    <w:uiPriority w:val="99"/>
    <w:unhideWhenUsed/>
    <w:rsid w:val="002B48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108"/>
  </w:style>
  <w:style w:type="paragraph" w:styleId="Footer">
    <w:name w:val="footer"/>
    <w:basedOn w:val="Normal"/>
    <w:link w:val="FooterChar"/>
    <w:uiPriority w:val="99"/>
    <w:unhideWhenUsed/>
    <w:rsid w:val="00C7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108"/>
  </w:style>
  <w:style w:type="paragraph" w:styleId="ListParagraph">
    <w:name w:val="List Paragraph"/>
    <w:basedOn w:val="Normal"/>
    <w:uiPriority w:val="34"/>
    <w:qFormat/>
    <w:rsid w:val="00962157"/>
    <w:pPr>
      <w:ind w:left="720"/>
      <w:contextualSpacing/>
    </w:pPr>
  </w:style>
  <w:style w:type="character" w:styleId="Hyperlink">
    <w:name w:val="Hyperlink"/>
    <w:basedOn w:val="DefaultParagraphFont"/>
    <w:uiPriority w:val="99"/>
    <w:unhideWhenUsed/>
    <w:rsid w:val="002B48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936574">
      <w:bodyDiv w:val="1"/>
      <w:marLeft w:val="0"/>
      <w:marRight w:val="0"/>
      <w:marTop w:val="0"/>
      <w:marBottom w:val="0"/>
      <w:divBdr>
        <w:top w:val="none" w:sz="0" w:space="0" w:color="auto"/>
        <w:left w:val="none" w:sz="0" w:space="0" w:color="auto"/>
        <w:bottom w:val="none" w:sz="0" w:space="0" w:color="auto"/>
        <w:right w:val="none" w:sz="0" w:space="0" w:color="auto"/>
      </w:divBdr>
    </w:div>
    <w:div w:id="16766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5E10-DB58-4E49-8802-007C26FA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user</cp:lastModifiedBy>
  <cp:revision>29</cp:revision>
  <dcterms:created xsi:type="dcterms:W3CDTF">2016-05-26T07:39:00Z</dcterms:created>
  <dcterms:modified xsi:type="dcterms:W3CDTF">2016-06-03T10:59:00Z</dcterms:modified>
</cp:coreProperties>
</file>