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sidR="007627A9">
        <w:rPr>
          <w:b/>
          <w:sz w:val="28"/>
          <w:szCs w:val="28"/>
        </w:rPr>
        <w:t>MALARIA</w:t>
      </w:r>
      <w:r w:rsidRPr="00641E91">
        <w:rPr>
          <w:b/>
          <w:sz w:val="28"/>
          <w:szCs w:val="28"/>
        </w:rPr>
        <w:t xml:space="preserve"> DASH BOARDS REVIEW MEETING</w:t>
      </w:r>
    </w:p>
    <w:p w:rsidR="00526FC4" w:rsidRPr="00641E91" w:rsidRDefault="008A272D" w:rsidP="00526FC4">
      <w:pPr>
        <w:jc w:val="center"/>
        <w:rPr>
          <w:b/>
        </w:rPr>
      </w:pPr>
      <w:r>
        <w:rPr>
          <w:b/>
        </w:rPr>
        <w:t>August 24</w:t>
      </w:r>
      <w:r w:rsidR="003048A5">
        <w:rPr>
          <w:b/>
        </w:rPr>
        <w:t>th</w:t>
      </w:r>
      <w:r w:rsidR="00226C88">
        <w:rPr>
          <w:b/>
        </w:rPr>
        <w:t>, 201</w:t>
      </w:r>
      <w:r w:rsidR="00995DE5">
        <w:rPr>
          <w:b/>
        </w:rPr>
        <w:t>7</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648"/>
        <w:gridCol w:w="3368"/>
        <w:gridCol w:w="2797"/>
        <w:gridCol w:w="2345"/>
      </w:tblGrid>
      <w:tr w:rsidR="00066C73" w:rsidTr="00B62BA8">
        <w:tc>
          <w:tcPr>
            <w:tcW w:w="648" w:type="dxa"/>
          </w:tcPr>
          <w:p w:rsidR="00066C73" w:rsidRPr="007B326F" w:rsidRDefault="00FB5D0B" w:rsidP="007D2F92">
            <w:pPr>
              <w:jc w:val="both"/>
              <w:rPr>
                <w:b/>
              </w:rPr>
            </w:pPr>
            <w:r w:rsidRPr="007B326F">
              <w:rPr>
                <w:b/>
              </w:rPr>
              <w:t xml:space="preserve">No. </w:t>
            </w:r>
          </w:p>
        </w:tc>
        <w:tc>
          <w:tcPr>
            <w:tcW w:w="3368"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BC72CE" w:rsidRPr="00CE7653" w:rsidTr="00B62BA8">
        <w:tc>
          <w:tcPr>
            <w:tcW w:w="648" w:type="dxa"/>
          </w:tcPr>
          <w:p w:rsidR="00BC72CE" w:rsidRPr="0092485A" w:rsidRDefault="00BC72CE" w:rsidP="00523F77">
            <w:pPr>
              <w:jc w:val="both"/>
            </w:pPr>
          </w:p>
        </w:tc>
        <w:tc>
          <w:tcPr>
            <w:tcW w:w="3368" w:type="dxa"/>
          </w:tcPr>
          <w:p w:rsidR="00BC72CE" w:rsidRPr="00B62BA8" w:rsidRDefault="00BC72CE" w:rsidP="00523F77">
            <w:pPr>
              <w:jc w:val="both"/>
            </w:pPr>
            <w:r w:rsidRPr="00B62BA8">
              <w:t>Jonas Raphael Manu</w:t>
            </w:r>
          </w:p>
        </w:tc>
        <w:tc>
          <w:tcPr>
            <w:tcW w:w="2797" w:type="dxa"/>
          </w:tcPr>
          <w:p w:rsidR="00BC72CE" w:rsidRPr="00A66811" w:rsidRDefault="00BC72CE" w:rsidP="00523F77">
            <w:pPr>
              <w:jc w:val="both"/>
            </w:pPr>
            <w:r w:rsidRPr="00E440AC">
              <w:t>AGAMal</w:t>
            </w:r>
          </w:p>
        </w:tc>
        <w:tc>
          <w:tcPr>
            <w:tcW w:w="2345" w:type="dxa"/>
          </w:tcPr>
          <w:p w:rsidR="00BC72CE" w:rsidRPr="00A66811" w:rsidRDefault="00BC72CE" w:rsidP="00523F77">
            <w:pPr>
              <w:jc w:val="both"/>
            </w:pPr>
            <w:r w:rsidRPr="00E440AC">
              <w:t>PR / Private Sector</w:t>
            </w:r>
          </w:p>
        </w:tc>
      </w:tr>
      <w:tr w:rsidR="00BC72CE" w:rsidRPr="00BB58C9" w:rsidTr="00B62BA8">
        <w:trPr>
          <w:trHeight w:val="267"/>
        </w:trPr>
        <w:tc>
          <w:tcPr>
            <w:tcW w:w="648" w:type="dxa"/>
          </w:tcPr>
          <w:p w:rsidR="00BC72CE" w:rsidRDefault="00BC72CE" w:rsidP="00120E93">
            <w:pPr>
              <w:jc w:val="both"/>
            </w:pPr>
          </w:p>
        </w:tc>
        <w:tc>
          <w:tcPr>
            <w:tcW w:w="3368" w:type="dxa"/>
          </w:tcPr>
          <w:p w:rsidR="00BC72CE" w:rsidRPr="00B62BA8" w:rsidRDefault="00BC72CE" w:rsidP="00120E93">
            <w:pPr>
              <w:jc w:val="both"/>
            </w:pPr>
            <w:r w:rsidRPr="00B62BA8">
              <w:t>Bright Atiase</w:t>
            </w:r>
          </w:p>
        </w:tc>
        <w:tc>
          <w:tcPr>
            <w:tcW w:w="2797" w:type="dxa"/>
          </w:tcPr>
          <w:p w:rsidR="00BC72CE" w:rsidRPr="00E440AC" w:rsidRDefault="00BC72CE" w:rsidP="00120E93">
            <w:pPr>
              <w:jc w:val="both"/>
            </w:pPr>
            <w:r w:rsidRPr="00E440AC">
              <w:t>AGAMal</w:t>
            </w:r>
          </w:p>
        </w:tc>
        <w:tc>
          <w:tcPr>
            <w:tcW w:w="2345" w:type="dxa"/>
          </w:tcPr>
          <w:p w:rsidR="00BC72CE" w:rsidRPr="00E440AC" w:rsidRDefault="00BC72CE" w:rsidP="00120E93">
            <w:pPr>
              <w:jc w:val="both"/>
            </w:pPr>
            <w:r w:rsidRPr="00E440AC">
              <w:t>PR / Private Sector</w:t>
            </w:r>
          </w:p>
        </w:tc>
      </w:tr>
      <w:tr w:rsidR="00BC72CE" w:rsidRPr="00BB58C9" w:rsidTr="00B62BA8">
        <w:trPr>
          <w:trHeight w:val="267"/>
        </w:trPr>
        <w:tc>
          <w:tcPr>
            <w:tcW w:w="648" w:type="dxa"/>
          </w:tcPr>
          <w:p w:rsidR="00BC72CE" w:rsidRDefault="00BC72CE" w:rsidP="00120E93">
            <w:pPr>
              <w:jc w:val="both"/>
            </w:pPr>
          </w:p>
        </w:tc>
        <w:tc>
          <w:tcPr>
            <w:tcW w:w="3368" w:type="dxa"/>
          </w:tcPr>
          <w:p w:rsidR="00BC72CE" w:rsidRPr="00B62BA8" w:rsidRDefault="00BC72CE" w:rsidP="00120E93">
            <w:pPr>
              <w:jc w:val="both"/>
            </w:pPr>
            <w:r w:rsidRPr="00B62BA8">
              <w:t>Joel Balbaare</w:t>
            </w:r>
          </w:p>
        </w:tc>
        <w:tc>
          <w:tcPr>
            <w:tcW w:w="2797" w:type="dxa"/>
          </w:tcPr>
          <w:p w:rsidR="00BC72CE" w:rsidRPr="00A66811" w:rsidRDefault="00BC72CE" w:rsidP="00120E93">
            <w:pPr>
              <w:jc w:val="both"/>
            </w:pPr>
            <w:r>
              <w:t>NMCP</w:t>
            </w:r>
          </w:p>
        </w:tc>
        <w:tc>
          <w:tcPr>
            <w:tcW w:w="2345" w:type="dxa"/>
          </w:tcPr>
          <w:p w:rsidR="00BC72CE" w:rsidRDefault="00BC72CE" w:rsidP="00120E93">
            <w:r w:rsidRPr="0007240B">
              <w:t>PR / Government</w:t>
            </w:r>
          </w:p>
        </w:tc>
      </w:tr>
      <w:tr w:rsidR="00113872" w:rsidRPr="002B58B7" w:rsidTr="008729A1">
        <w:tc>
          <w:tcPr>
            <w:tcW w:w="648" w:type="dxa"/>
          </w:tcPr>
          <w:p w:rsidR="00113872" w:rsidRPr="004E1B11" w:rsidRDefault="00113872" w:rsidP="008729A1">
            <w:pPr>
              <w:jc w:val="both"/>
            </w:pPr>
          </w:p>
        </w:tc>
        <w:tc>
          <w:tcPr>
            <w:tcW w:w="3368" w:type="dxa"/>
          </w:tcPr>
          <w:p w:rsidR="00113872" w:rsidRPr="00B62BA8" w:rsidRDefault="00113872" w:rsidP="008729A1">
            <w:r w:rsidRPr="00B62BA8">
              <w:t>Dr. Akusua Gyasi</w:t>
            </w:r>
          </w:p>
        </w:tc>
        <w:tc>
          <w:tcPr>
            <w:tcW w:w="2797" w:type="dxa"/>
          </w:tcPr>
          <w:p w:rsidR="00113872" w:rsidRPr="00A66811" w:rsidRDefault="00113872" w:rsidP="008729A1">
            <w:r>
              <w:t>NMCP</w:t>
            </w:r>
          </w:p>
        </w:tc>
        <w:tc>
          <w:tcPr>
            <w:tcW w:w="2345" w:type="dxa"/>
          </w:tcPr>
          <w:p w:rsidR="00113872" w:rsidRPr="00A66811" w:rsidRDefault="00113872" w:rsidP="008729A1">
            <w:r w:rsidRPr="0007240B">
              <w:t>PR / Government</w:t>
            </w:r>
          </w:p>
        </w:tc>
      </w:tr>
      <w:tr w:rsidR="00BC72CE" w:rsidRPr="00BB58C9" w:rsidTr="00B62BA8">
        <w:trPr>
          <w:trHeight w:val="267"/>
        </w:trPr>
        <w:tc>
          <w:tcPr>
            <w:tcW w:w="648" w:type="dxa"/>
          </w:tcPr>
          <w:p w:rsidR="00BC72CE" w:rsidRPr="002D2521" w:rsidRDefault="00BC72CE" w:rsidP="00120E93">
            <w:pPr>
              <w:jc w:val="both"/>
            </w:pPr>
          </w:p>
        </w:tc>
        <w:tc>
          <w:tcPr>
            <w:tcW w:w="3368" w:type="dxa"/>
          </w:tcPr>
          <w:p w:rsidR="00BC72CE" w:rsidRPr="00B62BA8" w:rsidRDefault="00BC72CE" w:rsidP="00120E93">
            <w:pPr>
              <w:jc w:val="both"/>
            </w:pPr>
            <w:r w:rsidRPr="00B62BA8">
              <w:t>Samuel Dodoo</w:t>
            </w:r>
          </w:p>
        </w:tc>
        <w:tc>
          <w:tcPr>
            <w:tcW w:w="2797" w:type="dxa"/>
          </w:tcPr>
          <w:p w:rsidR="00BC72CE" w:rsidRPr="00A66811" w:rsidRDefault="00BC72CE" w:rsidP="00120E93">
            <w:pPr>
              <w:jc w:val="both"/>
            </w:pPr>
            <w:r w:rsidRPr="00A66811">
              <w:t>Media Response – Stop TB</w:t>
            </w:r>
          </w:p>
        </w:tc>
        <w:tc>
          <w:tcPr>
            <w:tcW w:w="2345" w:type="dxa"/>
          </w:tcPr>
          <w:p w:rsidR="00BC72CE" w:rsidRDefault="00BC72CE" w:rsidP="00120E93">
            <w:r w:rsidRPr="00A66811">
              <w:t>OC / NGO</w:t>
            </w:r>
          </w:p>
        </w:tc>
      </w:tr>
      <w:tr w:rsidR="00BC72CE" w:rsidRPr="002B58B7" w:rsidTr="00B62BA8">
        <w:tc>
          <w:tcPr>
            <w:tcW w:w="648" w:type="dxa"/>
          </w:tcPr>
          <w:p w:rsidR="00BC72CE" w:rsidRPr="004E1B11" w:rsidRDefault="00BC72CE" w:rsidP="00120E93">
            <w:pPr>
              <w:jc w:val="both"/>
            </w:pPr>
          </w:p>
        </w:tc>
        <w:tc>
          <w:tcPr>
            <w:tcW w:w="3368" w:type="dxa"/>
          </w:tcPr>
          <w:p w:rsidR="00BC72CE" w:rsidRPr="00B62BA8" w:rsidRDefault="00BC72CE" w:rsidP="00120E93">
            <w:r w:rsidRPr="00B62BA8">
              <w:t>Dr. Naa Ashiley Vanderpuye</w:t>
            </w:r>
          </w:p>
        </w:tc>
        <w:tc>
          <w:tcPr>
            <w:tcW w:w="2797" w:type="dxa"/>
          </w:tcPr>
          <w:p w:rsidR="00BC72CE" w:rsidRPr="00A66811" w:rsidRDefault="00BC72CE" w:rsidP="00120E93">
            <w:pPr>
              <w:jc w:val="both"/>
            </w:pPr>
            <w:r>
              <w:t>Stop TB Partnership</w:t>
            </w:r>
          </w:p>
        </w:tc>
        <w:tc>
          <w:tcPr>
            <w:tcW w:w="2345" w:type="dxa"/>
          </w:tcPr>
          <w:p w:rsidR="00BC72CE" w:rsidRPr="00A66811" w:rsidRDefault="00113872" w:rsidP="00120E93">
            <w:pPr>
              <w:jc w:val="both"/>
            </w:pPr>
            <w:r>
              <w:t>KAP (TB) / NGO</w:t>
            </w:r>
          </w:p>
        </w:tc>
      </w:tr>
      <w:tr w:rsidR="00BC72CE" w:rsidRPr="002B58B7" w:rsidTr="00B62BA8">
        <w:tc>
          <w:tcPr>
            <w:tcW w:w="648" w:type="dxa"/>
          </w:tcPr>
          <w:p w:rsidR="00BC72CE" w:rsidRPr="004E1B11" w:rsidRDefault="00BC72CE" w:rsidP="00120E93">
            <w:pPr>
              <w:jc w:val="both"/>
            </w:pPr>
          </w:p>
        </w:tc>
        <w:tc>
          <w:tcPr>
            <w:tcW w:w="3368" w:type="dxa"/>
          </w:tcPr>
          <w:p w:rsidR="00BC72CE" w:rsidRPr="00B62BA8" w:rsidRDefault="00BC72CE" w:rsidP="00120E93">
            <w:r w:rsidRPr="00B62BA8">
              <w:t>Dan Epeh</w:t>
            </w:r>
          </w:p>
        </w:tc>
        <w:tc>
          <w:tcPr>
            <w:tcW w:w="2797" w:type="dxa"/>
          </w:tcPr>
          <w:p w:rsidR="00BC72CE" w:rsidRPr="00A66811" w:rsidRDefault="00BC72CE" w:rsidP="00120E93">
            <w:r>
              <w:t>GAC</w:t>
            </w:r>
          </w:p>
        </w:tc>
        <w:tc>
          <w:tcPr>
            <w:tcW w:w="2345" w:type="dxa"/>
          </w:tcPr>
          <w:p w:rsidR="00BC72CE" w:rsidRPr="00A66811" w:rsidRDefault="00BC72CE" w:rsidP="00120E93">
            <w:r>
              <w:t>OC / Co-opted member</w:t>
            </w:r>
          </w:p>
        </w:tc>
      </w:tr>
      <w:tr w:rsidR="00BC72CE" w:rsidRPr="002B58B7" w:rsidTr="00B62BA8">
        <w:tc>
          <w:tcPr>
            <w:tcW w:w="648" w:type="dxa"/>
          </w:tcPr>
          <w:p w:rsidR="00BC72CE" w:rsidRPr="004E1B11" w:rsidRDefault="00BC72CE" w:rsidP="00120E93">
            <w:pPr>
              <w:jc w:val="both"/>
            </w:pPr>
          </w:p>
        </w:tc>
        <w:tc>
          <w:tcPr>
            <w:tcW w:w="3368" w:type="dxa"/>
          </w:tcPr>
          <w:p w:rsidR="00BC72CE" w:rsidRPr="00B62BA8" w:rsidRDefault="00BC72CE" w:rsidP="00120E93">
            <w:r w:rsidRPr="00B62BA8">
              <w:t>Laud Baddoo</w:t>
            </w:r>
          </w:p>
        </w:tc>
        <w:tc>
          <w:tcPr>
            <w:tcW w:w="2797" w:type="dxa"/>
          </w:tcPr>
          <w:p w:rsidR="00BC72CE" w:rsidRPr="00A66811" w:rsidRDefault="00BC72CE" w:rsidP="00120E93">
            <w:r>
              <w:t>GHSCP – PSM Project</w:t>
            </w:r>
          </w:p>
        </w:tc>
        <w:tc>
          <w:tcPr>
            <w:tcW w:w="2345" w:type="dxa"/>
          </w:tcPr>
          <w:p w:rsidR="00BC72CE" w:rsidRPr="00A66811" w:rsidRDefault="00BC72CE" w:rsidP="00120E93">
            <w:r w:rsidRPr="00A66811">
              <w:t>OC / Co-opted member</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516"/>
        <w:gridCol w:w="2610"/>
        <w:gridCol w:w="2340"/>
        <w:gridCol w:w="1181"/>
      </w:tblGrid>
      <w:tr w:rsidR="00167B82" w:rsidTr="00B62BA8">
        <w:tc>
          <w:tcPr>
            <w:tcW w:w="562" w:type="dxa"/>
          </w:tcPr>
          <w:p w:rsidR="00167B82" w:rsidRPr="007B326F" w:rsidRDefault="00167B82" w:rsidP="00403A95">
            <w:pPr>
              <w:jc w:val="both"/>
              <w:rPr>
                <w:b/>
              </w:rPr>
            </w:pPr>
            <w:r w:rsidRPr="007B326F">
              <w:rPr>
                <w:b/>
              </w:rPr>
              <w:t xml:space="preserve">No. </w:t>
            </w:r>
          </w:p>
        </w:tc>
        <w:tc>
          <w:tcPr>
            <w:tcW w:w="2516" w:type="dxa"/>
          </w:tcPr>
          <w:p w:rsidR="00167B82" w:rsidRPr="007B326F" w:rsidRDefault="00167B82" w:rsidP="00403A95">
            <w:pPr>
              <w:jc w:val="both"/>
              <w:rPr>
                <w:b/>
              </w:rPr>
            </w:pPr>
            <w:r w:rsidRPr="007B326F">
              <w:rPr>
                <w:b/>
              </w:rPr>
              <w:t>Name</w:t>
            </w:r>
          </w:p>
        </w:tc>
        <w:tc>
          <w:tcPr>
            <w:tcW w:w="2610" w:type="dxa"/>
          </w:tcPr>
          <w:p w:rsidR="00167B82" w:rsidRPr="007B326F" w:rsidRDefault="00167B82" w:rsidP="00403A95">
            <w:pPr>
              <w:jc w:val="both"/>
              <w:rPr>
                <w:b/>
              </w:rPr>
            </w:pPr>
            <w:r w:rsidRPr="007B326F">
              <w:rPr>
                <w:b/>
              </w:rPr>
              <w:t>Organization</w:t>
            </w:r>
          </w:p>
        </w:tc>
        <w:tc>
          <w:tcPr>
            <w:tcW w:w="2340" w:type="dxa"/>
          </w:tcPr>
          <w:p w:rsidR="00167B82" w:rsidRPr="007B326F" w:rsidRDefault="00167B82" w:rsidP="00403A95">
            <w:pPr>
              <w:jc w:val="both"/>
              <w:rPr>
                <w:b/>
              </w:rPr>
            </w:pPr>
            <w:r w:rsidRPr="007B326F">
              <w:rPr>
                <w:b/>
              </w:rPr>
              <w:t>Sector</w:t>
            </w:r>
          </w:p>
        </w:tc>
        <w:tc>
          <w:tcPr>
            <w:tcW w:w="1181" w:type="dxa"/>
          </w:tcPr>
          <w:p w:rsidR="00167B82" w:rsidRPr="007B326F" w:rsidRDefault="00167B82" w:rsidP="00403A95">
            <w:pPr>
              <w:jc w:val="both"/>
              <w:rPr>
                <w:b/>
              </w:rPr>
            </w:pPr>
            <w:r>
              <w:rPr>
                <w:b/>
              </w:rPr>
              <w:t xml:space="preserve">Reason </w:t>
            </w:r>
          </w:p>
        </w:tc>
      </w:tr>
      <w:tr w:rsidR="003048A5" w:rsidTr="00B62BA8">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048A5" w:rsidRPr="00052CD1" w:rsidRDefault="003048A5" w:rsidP="003048A5">
            <w:pPr>
              <w:rPr>
                <w:color w:val="000000" w:themeColor="text1"/>
              </w:rPr>
            </w:pPr>
            <w:r>
              <w:rPr>
                <w:color w:val="000000" w:themeColor="text1"/>
              </w:rPr>
              <w:t>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048A5" w:rsidRPr="00A66811" w:rsidRDefault="00BC72CE" w:rsidP="004E1B11">
            <w:r>
              <w:t>Annekatrin El Oumrany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048A5" w:rsidRPr="00A66811" w:rsidRDefault="00BC72CE" w:rsidP="004E1B11">
            <w:r>
              <w:t>CCM Secretariat</w:t>
            </w:r>
          </w:p>
        </w:tc>
        <w:tc>
          <w:tcPr>
            <w:tcW w:w="2340" w:type="dxa"/>
            <w:tcBorders>
              <w:top w:val="single" w:sz="4" w:space="0" w:color="000000" w:themeColor="text1"/>
              <w:left w:val="single" w:sz="4" w:space="0" w:color="000000" w:themeColor="text1"/>
              <w:bottom w:val="single" w:sz="4" w:space="0" w:color="000000" w:themeColor="text1"/>
            </w:tcBorders>
            <w:shd w:val="clear" w:color="auto" w:fill="auto"/>
          </w:tcPr>
          <w:p w:rsidR="003048A5" w:rsidRPr="00A66811" w:rsidRDefault="003048A5" w:rsidP="004E1B11"/>
        </w:tc>
        <w:tc>
          <w:tcPr>
            <w:tcW w:w="1181" w:type="dxa"/>
            <w:tcBorders>
              <w:top w:val="single" w:sz="4" w:space="0" w:color="000000" w:themeColor="text1"/>
              <w:left w:val="single" w:sz="4" w:space="0" w:color="000000" w:themeColor="text1"/>
              <w:bottom w:val="single" w:sz="4" w:space="0" w:color="000000" w:themeColor="text1"/>
            </w:tcBorders>
          </w:tcPr>
          <w:p w:rsidR="003048A5" w:rsidRDefault="00BC72CE" w:rsidP="004E1B11">
            <w:pPr>
              <w:rPr>
                <w:color w:val="000000" w:themeColor="text1"/>
              </w:rPr>
            </w:pPr>
            <w:r>
              <w:rPr>
                <w:color w:val="000000" w:themeColor="text1"/>
              </w:rPr>
              <w:t>Leave</w:t>
            </w:r>
          </w:p>
        </w:tc>
      </w:tr>
      <w:tr w:rsidR="00B62BA8" w:rsidTr="00B62BA8">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B62BA8" w:rsidRPr="00052CD1" w:rsidRDefault="00B62BA8" w:rsidP="003048A5">
            <w:pPr>
              <w:rPr>
                <w:color w:val="000000" w:themeColor="text1"/>
              </w:rPr>
            </w:pPr>
            <w:r>
              <w:rPr>
                <w:color w:val="000000" w:themeColor="text1"/>
              </w:rPr>
              <w:t>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62BA8" w:rsidRPr="00A66811" w:rsidRDefault="00B62BA8" w:rsidP="00046F56">
            <w:pPr>
              <w:jc w:val="both"/>
            </w:pPr>
            <w:r>
              <w:t xml:space="preserve">Sixte </w:t>
            </w:r>
            <w:r w:rsidRPr="0068673A">
              <w:t>Zigirumugabe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62BA8" w:rsidRPr="00A66811" w:rsidRDefault="00B62BA8" w:rsidP="00046F56">
            <w:pPr>
              <w:jc w:val="both"/>
            </w:pPr>
            <w:r>
              <w:t>USAID/PMI</w:t>
            </w:r>
          </w:p>
        </w:tc>
        <w:tc>
          <w:tcPr>
            <w:tcW w:w="2340" w:type="dxa"/>
            <w:tcBorders>
              <w:top w:val="single" w:sz="4" w:space="0" w:color="000000" w:themeColor="text1"/>
              <w:left w:val="single" w:sz="4" w:space="0" w:color="000000" w:themeColor="text1"/>
              <w:bottom w:val="single" w:sz="4" w:space="0" w:color="000000" w:themeColor="text1"/>
            </w:tcBorders>
            <w:shd w:val="clear" w:color="auto" w:fill="auto"/>
          </w:tcPr>
          <w:p w:rsidR="00B62BA8" w:rsidRPr="00A66811" w:rsidRDefault="00B62BA8" w:rsidP="00046F56">
            <w:pPr>
              <w:jc w:val="both"/>
            </w:pPr>
            <w:r>
              <w:t>OC / Bilateral</w:t>
            </w:r>
          </w:p>
        </w:tc>
        <w:tc>
          <w:tcPr>
            <w:tcW w:w="1181" w:type="dxa"/>
            <w:tcBorders>
              <w:top w:val="single" w:sz="4" w:space="0" w:color="000000" w:themeColor="text1"/>
              <w:left w:val="single" w:sz="4" w:space="0" w:color="000000" w:themeColor="text1"/>
              <w:bottom w:val="single" w:sz="4" w:space="0" w:color="000000" w:themeColor="text1"/>
            </w:tcBorders>
          </w:tcPr>
          <w:p w:rsidR="00B62BA8" w:rsidRDefault="00113872" w:rsidP="004E1B11">
            <w:pPr>
              <w:rPr>
                <w:color w:val="000000" w:themeColor="text1"/>
              </w:rPr>
            </w:pPr>
            <w:r>
              <w:rPr>
                <w:color w:val="000000" w:themeColor="text1"/>
              </w:rPr>
              <w:t>Leave</w:t>
            </w:r>
          </w:p>
        </w:tc>
      </w:tr>
      <w:tr w:rsidR="00B62BA8" w:rsidTr="00B62BA8">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B62BA8" w:rsidRPr="00052CD1" w:rsidRDefault="00B62BA8" w:rsidP="004E1B11">
            <w:pPr>
              <w:rPr>
                <w:color w:val="000000" w:themeColor="text1"/>
              </w:rPr>
            </w:pPr>
            <w:r>
              <w:rPr>
                <w:color w:val="000000" w:themeColor="text1"/>
              </w:rPr>
              <w:t>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62BA8" w:rsidRPr="00A66811" w:rsidRDefault="00B62BA8" w:rsidP="00046F56">
            <w:r w:rsidRPr="00A66811">
              <w:t>Dr. Felicia Owusu-Antwi</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62BA8" w:rsidRDefault="00B62BA8" w:rsidP="00046F56">
            <w:r w:rsidRPr="00A66811">
              <w:t>WHO</w:t>
            </w:r>
          </w:p>
        </w:tc>
        <w:tc>
          <w:tcPr>
            <w:tcW w:w="2340" w:type="dxa"/>
            <w:tcBorders>
              <w:top w:val="single" w:sz="4" w:space="0" w:color="000000" w:themeColor="text1"/>
              <w:left w:val="single" w:sz="4" w:space="0" w:color="000000" w:themeColor="text1"/>
              <w:bottom w:val="single" w:sz="4" w:space="0" w:color="000000" w:themeColor="text1"/>
            </w:tcBorders>
            <w:shd w:val="clear" w:color="auto" w:fill="auto"/>
          </w:tcPr>
          <w:p w:rsidR="00B62BA8" w:rsidRDefault="00B62BA8" w:rsidP="00046F56">
            <w:r w:rsidRPr="00A66811">
              <w:t xml:space="preserve">OC / </w:t>
            </w:r>
            <w:r>
              <w:t>Co-opted member</w:t>
            </w:r>
          </w:p>
        </w:tc>
        <w:tc>
          <w:tcPr>
            <w:tcW w:w="1181" w:type="dxa"/>
            <w:tcBorders>
              <w:top w:val="single" w:sz="4" w:space="0" w:color="000000" w:themeColor="text1"/>
              <w:left w:val="single" w:sz="4" w:space="0" w:color="000000" w:themeColor="text1"/>
              <w:bottom w:val="single" w:sz="4" w:space="0" w:color="000000" w:themeColor="text1"/>
            </w:tcBorders>
          </w:tcPr>
          <w:p w:rsidR="00B62BA8" w:rsidRDefault="00B62BA8" w:rsidP="004E1B11">
            <w:pPr>
              <w:rPr>
                <w:color w:val="000000" w:themeColor="text1"/>
              </w:rPr>
            </w:pPr>
          </w:p>
        </w:tc>
      </w:tr>
      <w:tr w:rsidR="00B62BA8" w:rsidTr="00B62BA8">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B62BA8" w:rsidRDefault="00B62BA8" w:rsidP="004E1B11">
            <w:pPr>
              <w:rPr>
                <w:color w:val="000000" w:themeColor="text1"/>
              </w:rPr>
            </w:pPr>
            <w:r>
              <w:rPr>
                <w:color w:val="000000" w:themeColor="text1"/>
              </w:rPr>
              <w:t>4</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62BA8" w:rsidRPr="00A66811" w:rsidRDefault="00B62BA8" w:rsidP="00046F56">
            <w:r>
              <w:t>Dr. Sebastian Sandaare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62BA8" w:rsidRPr="00A66811" w:rsidRDefault="00B62BA8" w:rsidP="00046F56">
            <w:pPr>
              <w:jc w:val="both"/>
            </w:pPr>
            <w:r>
              <w:t>District Health Directorate</w:t>
            </w:r>
          </w:p>
        </w:tc>
        <w:tc>
          <w:tcPr>
            <w:tcW w:w="2340" w:type="dxa"/>
            <w:tcBorders>
              <w:top w:val="single" w:sz="4" w:space="0" w:color="000000" w:themeColor="text1"/>
              <w:left w:val="single" w:sz="4" w:space="0" w:color="000000" w:themeColor="text1"/>
              <w:bottom w:val="single" w:sz="4" w:space="0" w:color="000000" w:themeColor="text1"/>
            </w:tcBorders>
            <w:shd w:val="clear" w:color="auto" w:fill="auto"/>
          </w:tcPr>
          <w:p w:rsidR="00B62BA8" w:rsidRPr="00A66811" w:rsidRDefault="00B62BA8" w:rsidP="00046F56">
            <w:pPr>
              <w:jc w:val="both"/>
            </w:pPr>
            <w:r>
              <w:t>OC / PLWD</w:t>
            </w:r>
          </w:p>
        </w:tc>
        <w:tc>
          <w:tcPr>
            <w:tcW w:w="1181" w:type="dxa"/>
            <w:tcBorders>
              <w:top w:val="single" w:sz="4" w:space="0" w:color="000000" w:themeColor="text1"/>
              <w:left w:val="single" w:sz="4" w:space="0" w:color="000000" w:themeColor="text1"/>
              <w:bottom w:val="single" w:sz="4" w:space="0" w:color="000000" w:themeColor="text1"/>
            </w:tcBorders>
          </w:tcPr>
          <w:p w:rsidR="00B62BA8" w:rsidRDefault="00B62BA8" w:rsidP="004E1B11">
            <w:pPr>
              <w:rPr>
                <w:color w:val="000000" w:themeColor="text1"/>
              </w:rPr>
            </w:pPr>
          </w:p>
        </w:tc>
      </w:tr>
    </w:tbl>
    <w:p w:rsidR="002A6CB3" w:rsidRDefault="002A6CB3">
      <w:pPr>
        <w:rPr>
          <w:b/>
          <w:sz w:val="24"/>
          <w:szCs w:val="24"/>
        </w:rPr>
      </w:pPr>
    </w:p>
    <w:p w:rsidR="00F957F5" w:rsidRPr="00962157" w:rsidRDefault="00F957F5" w:rsidP="00172379">
      <w:pPr>
        <w:pStyle w:val="ListParagraph"/>
        <w:numPr>
          <w:ilvl w:val="0"/>
          <w:numId w:val="1"/>
        </w:numPr>
        <w:jc w:val="both"/>
        <w:rPr>
          <w:b/>
          <w:sz w:val="24"/>
          <w:szCs w:val="24"/>
        </w:rPr>
      </w:pPr>
      <w:r w:rsidRPr="00962157">
        <w:rPr>
          <w:b/>
          <w:sz w:val="24"/>
          <w:szCs w:val="24"/>
        </w:rPr>
        <w:t>Opening:</w:t>
      </w:r>
    </w:p>
    <w:p w:rsidR="00F957F5" w:rsidRDefault="00F957F5" w:rsidP="00F957F5">
      <w:pPr>
        <w:jc w:val="both"/>
      </w:pPr>
      <w:r>
        <w:t xml:space="preserve">The meeting started at </w:t>
      </w:r>
      <w:r w:rsidR="004867BF">
        <w:t xml:space="preserve">10 </w:t>
      </w:r>
      <w:r w:rsidR="00BD178F">
        <w:t xml:space="preserve">am with a prayer by Dr. Naa Ashiley Vanderpuje. It was </w:t>
      </w:r>
      <w:r w:rsidR="00F627E7">
        <w:t xml:space="preserve">chaired by </w:t>
      </w:r>
      <w:r w:rsidR="00F77555">
        <w:t>Samuel Dodoo</w:t>
      </w:r>
      <w:r>
        <w:t>.</w:t>
      </w:r>
    </w:p>
    <w:p w:rsidR="00F46F53" w:rsidRDefault="00F46F53" w:rsidP="00172379">
      <w:pPr>
        <w:numPr>
          <w:ilvl w:val="0"/>
          <w:numId w:val="3"/>
        </w:numPr>
        <w:tabs>
          <w:tab w:val="num" w:pos="720"/>
        </w:tabs>
        <w:spacing w:after="0"/>
        <w:jc w:val="both"/>
        <w:rPr>
          <w:b/>
        </w:rPr>
      </w:pPr>
      <w:r w:rsidRPr="001C13E1">
        <w:rPr>
          <w:b/>
        </w:rPr>
        <w:t xml:space="preserve">Conflict of interest </w:t>
      </w:r>
    </w:p>
    <w:p w:rsidR="00636F4C" w:rsidRDefault="00BD178F" w:rsidP="00F46F53">
      <w:pPr>
        <w:spacing w:after="0"/>
        <w:ind w:left="360"/>
        <w:jc w:val="both"/>
      </w:pPr>
      <w:r>
        <w:t xml:space="preserve">Mr. Dodoo </w:t>
      </w:r>
      <w:r w:rsidR="00F46F53">
        <w:t xml:space="preserve">asked the </w:t>
      </w:r>
      <w:r>
        <w:t xml:space="preserve">oversight committee members present </w:t>
      </w:r>
      <w:r w:rsidR="00F46F53">
        <w:t xml:space="preserve">if they had any </w:t>
      </w:r>
      <w:r w:rsidR="005B429F">
        <w:t xml:space="preserve">potential or actual </w:t>
      </w:r>
      <w:r w:rsidR="00F46F53">
        <w:t>conflict of interest in relation to the malaria dashboard revi</w:t>
      </w:r>
      <w:r w:rsidR="008A272D">
        <w:t>ew or other items of the agenda</w:t>
      </w:r>
      <w:r w:rsidR="005B429F">
        <w:t xml:space="preserve">. </w:t>
      </w:r>
      <w:r>
        <w:t xml:space="preserve"> All members present responded that they had no conflict of interest.</w:t>
      </w:r>
    </w:p>
    <w:p w:rsidR="00995DE5" w:rsidRDefault="00995DE5" w:rsidP="00F46F53">
      <w:pPr>
        <w:spacing w:after="0"/>
        <w:ind w:left="360"/>
        <w:jc w:val="both"/>
      </w:pPr>
    </w:p>
    <w:p w:rsidR="008A272D" w:rsidRDefault="00827F97" w:rsidP="00172379">
      <w:pPr>
        <w:numPr>
          <w:ilvl w:val="0"/>
          <w:numId w:val="3"/>
        </w:numPr>
        <w:tabs>
          <w:tab w:val="num" w:pos="720"/>
        </w:tabs>
        <w:spacing w:after="0"/>
        <w:jc w:val="both"/>
        <w:rPr>
          <w:b/>
        </w:rPr>
      </w:pPr>
      <w:r>
        <w:rPr>
          <w:b/>
        </w:rPr>
        <w:t>Feedback from the field</w:t>
      </w:r>
      <w:r w:rsidR="00064741">
        <w:rPr>
          <w:b/>
        </w:rPr>
        <w:t xml:space="preserve"> – NMCP NGOs funding</w:t>
      </w:r>
      <w:r w:rsidR="004A0128">
        <w:rPr>
          <w:b/>
        </w:rPr>
        <w:t xml:space="preserve">  </w:t>
      </w:r>
      <w:r w:rsidR="009A1E30">
        <w:rPr>
          <w:b/>
          <w:sz w:val="24"/>
          <w:szCs w:val="24"/>
        </w:rPr>
        <w:t xml:space="preserve">- </w:t>
      </w:r>
      <w:r w:rsidR="009A1E30" w:rsidRPr="004A0128">
        <w:rPr>
          <w:sz w:val="24"/>
          <w:szCs w:val="24"/>
        </w:rPr>
        <w:t>Complaints about delays in funding NGOs by NMCP was reported by Samuel Dodoo.</w:t>
      </w:r>
      <w:r w:rsidR="009A1E30">
        <w:rPr>
          <w:sz w:val="24"/>
          <w:szCs w:val="24"/>
        </w:rPr>
        <w:t xml:space="preserve">  </w:t>
      </w:r>
    </w:p>
    <w:p w:rsidR="008A272D" w:rsidRDefault="008A272D" w:rsidP="008A272D">
      <w:pPr>
        <w:spacing w:after="0"/>
        <w:ind w:left="360"/>
        <w:jc w:val="both"/>
        <w:rPr>
          <w:b/>
        </w:rPr>
      </w:pPr>
    </w:p>
    <w:p w:rsidR="008A272D" w:rsidRPr="008A272D" w:rsidRDefault="008A272D" w:rsidP="00172379">
      <w:pPr>
        <w:numPr>
          <w:ilvl w:val="0"/>
          <w:numId w:val="3"/>
        </w:numPr>
        <w:tabs>
          <w:tab w:val="num" w:pos="720"/>
        </w:tabs>
        <w:spacing w:after="0"/>
        <w:jc w:val="both"/>
        <w:rPr>
          <w:b/>
        </w:rPr>
      </w:pPr>
      <w:r>
        <w:rPr>
          <w:b/>
        </w:rPr>
        <w:t>Malaria and RSSH funding request</w:t>
      </w:r>
      <w:r w:rsidR="00D276B3">
        <w:rPr>
          <w:b/>
        </w:rPr>
        <w:t xml:space="preserve"> (Feedback from Technical Review Panel)</w:t>
      </w:r>
      <w:r w:rsidR="004A0128">
        <w:rPr>
          <w:b/>
        </w:rPr>
        <w:t xml:space="preserve">. </w:t>
      </w:r>
      <w:r w:rsidR="002F4244" w:rsidRPr="002F4244">
        <w:t>NMCP said they had made a successful submission and there were no challenges.</w:t>
      </w:r>
    </w:p>
    <w:p w:rsidR="004E1B11" w:rsidRDefault="004E1B11" w:rsidP="00827F97">
      <w:pPr>
        <w:spacing w:after="0"/>
        <w:ind w:left="360"/>
        <w:jc w:val="both"/>
      </w:pPr>
    </w:p>
    <w:p w:rsidR="00220737" w:rsidRDefault="00220737" w:rsidP="00827F97">
      <w:pPr>
        <w:spacing w:after="0"/>
        <w:ind w:left="360"/>
        <w:jc w:val="both"/>
      </w:pPr>
    </w:p>
    <w:p w:rsidR="00220737" w:rsidRPr="00827F97" w:rsidRDefault="00220737" w:rsidP="00827F97">
      <w:pPr>
        <w:spacing w:after="0"/>
        <w:ind w:left="360"/>
        <w:jc w:val="both"/>
      </w:pPr>
    </w:p>
    <w:p w:rsidR="001B26C1" w:rsidRPr="00FE0736" w:rsidRDefault="00F627E7" w:rsidP="00172379">
      <w:pPr>
        <w:pStyle w:val="ListParagraph"/>
        <w:numPr>
          <w:ilvl w:val="0"/>
          <w:numId w:val="1"/>
        </w:numPr>
        <w:spacing w:before="360"/>
        <w:contextualSpacing w:val="0"/>
        <w:jc w:val="both"/>
        <w:rPr>
          <w:b/>
          <w:sz w:val="24"/>
          <w:szCs w:val="24"/>
        </w:rPr>
      </w:pPr>
      <w:r w:rsidRPr="00FE0736">
        <w:rPr>
          <w:b/>
          <w:sz w:val="24"/>
          <w:szCs w:val="24"/>
        </w:rPr>
        <w:lastRenderedPageBreak/>
        <w:t>AGA Mal</w:t>
      </w:r>
    </w:p>
    <w:p w:rsidR="00943026" w:rsidRDefault="003C6BC3" w:rsidP="00494B40">
      <w:pPr>
        <w:pStyle w:val="ListParagraph"/>
        <w:numPr>
          <w:ilvl w:val="0"/>
          <w:numId w:val="2"/>
        </w:numPr>
        <w:spacing w:after="0"/>
        <w:ind w:left="357" w:hanging="357"/>
        <w:contextualSpacing w:val="0"/>
      </w:pPr>
      <w:r w:rsidRPr="00B05674">
        <w:rPr>
          <w:b/>
        </w:rPr>
        <w:t>Follow up:</w:t>
      </w:r>
      <w:r w:rsidR="00B05674" w:rsidRPr="00B05674">
        <w:rPr>
          <w:b/>
        </w:rPr>
        <w:t xml:space="preserve"> </w:t>
      </w:r>
      <w:r w:rsidR="00A712DB" w:rsidRPr="00A712DB">
        <w:t xml:space="preserve">Progress </w:t>
      </w:r>
      <w:r w:rsidR="00046F56">
        <w:t>on S</w:t>
      </w:r>
      <w:r w:rsidR="00A712DB" w:rsidRPr="00A712DB">
        <w:t>praying:</w:t>
      </w:r>
    </w:p>
    <w:p w:rsidR="003D30B4" w:rsidRDefault="003D30B4" w:rsidP="003D30B4">
      <w:pPr>
        <w:pStyle w:val="NoSpacing"/>
      </w:pPr>
    </w:p>
    <w:p w:rsidR="00F00962" w:rsidRDefault="00F00962" w:rsidP="00F00962">
      <w:pPr>
        <w:spacing w:after="0"/>
      </w:pPr>
      <w:r w:rsidRPr="00C02ED7">
        <w:rPr>
          <w:b/>
        </w:rPr>
        <w:t>Upper West</w:t>
      </w:r>
      <w:r w:rsidR="00C02ED7">
        <w:t xml:space="preserve"> - </w:t>
      </w:r>
      <w:r>
        <w:t xml:space="preserve">Spraying has delayed in Wa West as a result of these challenges:- </w:t>
      </w:r>
    </w:p>
    <w:p w:rsidR="00046F56" w:rsidRDefault="00F00962" w:rsidP="00F00962">
      <w:pPr>
        <w:pStyle w:val="ListParagraph"/>
        <w:numPr>
          <w:ilvl w:val="0"/>
          <w:numId w:val="11"/>
        </w:numPr>
        <w:spacing w:after="0"/>
      </w:pPr>
      <w:r>
        <w:t>A</w:t>
      </w:r>
      <w:r w:rsidR="00FE0736">
        <w:t>ccording to AGAMAL, a</w:t>
      </w:r>
      <w:r>
        <w:t>n a</w:t>
      </w:r>
      <w:r w:rsidR="00046F56">
        <w:t xml:space="preserve">lleged </w:t>
      </w:r>
      <w:r>
        <w:t xml:space="preserve">contamination was reported </w:t>
      </w:r>
      <w:r w:rsidR="00046F56">
        <w:t xml:space="preserve">by a </w:t>
      </w:r>
      <w:r>
        <w:t>Shea nut</w:t>
      </w:r>
      <w:r w:rsidR="00046F56">
        <w:t xml:space="preserve"> buying Company</w:t>
      </w:r>
      <w:r w:rsidR="00CA2BBE">
        <w:t xml:space="preserve"> in Wa West</w:t>
      </w:r>
      <w:r w:rsidR="00046F56">
        <w:t xml:space="preserve">.  A committee was formed comprising FDA, EPA, EOCO and key stakeholders to investigate the claim.  Reports revealed that AGAMAL chemical was not responsible for the contamination.   </w:t>
      </w:r>
    </w:p>
    <w:p w:rsidR="00F00962" w:rsidRPr="00C02ED7" w:rsidRDefault="00F00962" w:rsidP="00F00962">
      <w:pPr>
        <w:spacing w:after="0"/>
        <w:rPr>
          <w:sz w:val="14"/>
        </w:rPr>
      </w:pPr>
    </w:p>
    <w:p w:rsidR="00F00962" w:rsidRDefault="00F00962" w:rsidP="00F00962">
      <w:pPr>
        <w:pStyle w:val="ListParagraph"/>
        <w:numPr>
          <w:ilvl w:val="0"/>
          <w:numId w:val="11"/>
        </w:numPr>
        <w:spacing w:after="0"/>
      </w:pPr>
      <w:r>
        <w:t xml:space="preserve">AGAMAL has pulled out of twenty-one (21) communities within the Wa Municipality following a written request by community leaders. </w:t>
      </w:r>
      <w:r w:rsidR="00442DF8">
        <w:t>AGAMAL could not say whether the request was related to the alleged contamination of foodstuffs</w:t>
      </w:r>
      <w:r w:rsidR="00797221">
        <w:t xml:space="preserve">.  However it was revealed that </w:t>
      </w:r>
      <w:r w:rsidR="00B97D21">
        <w:t xml:space="preserve">many </w:t>
      </w:r>
      <w:r w:rsidR="00797221">
        <w:t xml:space="preserve">farmers in Wa West were engaged in organic farming and did not want any chemical near their crops. </w:t>
      </w:r>
    </w:p>
    <w:p w:rsidR="003D30B4" w:rsidRDefault="00797221" w:rsidP="003D30B4">
      <w:pPr>
        <w:pStyle w:val="ListParagraph"/>
        <w:numPr>
          <w:ilvl w:val="0"/>
          <w:numId w:val="11"/>
        </w:numPr>
        <w:spacing w:before="120"/>
        <w:contextualSpacing w:val="0"/>
      </w:pPr>
      <w:r>
        <w:t xml:space="preserve">AGAMAL has adopted </w:t>
      </w:r>
      <w:r w:rsidR="00F00962">
        <w:t xml:space="preserve">a series of </w:t>
      </w:r>
      <w:r w:rsidR="00442DF8">
        <w:t xml:space="preserve">strategies </w:t>
      </w:r>
      <w:r>
        <w:t xml:space="preserve">including </w:t>
      </w:r>
      <w:r w:rsidR="00442DF8">
        <w:t>extreme care in the selection of types of rooms to spray in order to avoid contact with food stuffs</w:t>
      </w:r>
      <w:r w:rsidR="00FE0736">
        <w:t xml:space="preserve">. Also </w:t>
      </w:r>
      <w:r w:rsidR="003D30B4">
        <w:t>organic producers</w:t>
      </w:r>
      <w:r w:rsidR="00FE0736">
        <w:t xml:space="preserve"> have been provided with stickers to post on structures containing organic produce. </w:t>
      </w:r>
    </w:p>
    <w:p w:rsidR="00CA2BBE" w:rsidRDefault="00F00962" w:rsidP="003D30B4">
      <w:pPr>
        <w:pStyle w:val="ListParagraph"/>
        <w:numPr>
          <w:ilvl w:val="0"/>
          <w:numId w:val="11"/>
        </w:numPr>
        <w:spacing w:after="0"/>
      </w:pPr>
      <w:r>
        <w:t xml:space="preserve">OC </w:t>
      </w:r>
      <w:r w:rsidR="00CA2BBE">
        <w:t xml:space="preserve">recommended that an alternative intervention be implemented in the 21 districts where AGAMAL has withdrawn spraying services.   ITN intensification was </w:t>
      </w:r>
      <w:r>
        <w:t>proposed</w:t>
      </w:r>
      <w:r w:rsidR="00CA2BBE">
        <w:t>.  Laud mentioned that Upper West was currently not part of mass net distribution.  AGAMAL reported that a report has already been sent to NMCP for alternative solutions.</w:t>
      </w:r>
    </w:p>
    <w:p w:rsidR="00CA2BBE" w:rsidRPr="00DF26EE" w:rsidRDefault="00CA2BBE" w:rsidP="00DF26EE">
      <w:pPr>
        <w:pStyle w:val="NoSpacing"/>
        <w:rPr>
          <w:sz w:val="16"/>
        </w:rPr>
      </w:pPr>
    </w:p>
    <w:p w:rsidR="00064741" w:rsidRDefault="00CA2BBE" w:rsidP="003D30B4">
      <w:pPr>
        <w:pStyle w:val="ListParagraph"/>
        <w:numPr>
          <w:ilvl w:val="0"/>
          <w:numId w:val="11"/>
        </w:numPr>
        <w:spacing w:after="0"/>
      </w:pPr>
      <w:r w:rsidRPr="003D30B4">
        <w:rPr>
          <w:b/>
        </w:rPr>
        <w:t>Upper East</w:t>
      </w:r>
      <w:r w:rsidR="00C02ED7" w:rsidRPr="003D30B4">
        <w:rPr>
          <w:b/>
        </w:rPr>
        <w:t xml:space="preserve"> -</w:t>
      </w:r>
      <w:r>
        <w:t>Activities on course. Currently in the 3</w:t>
      </w:r>
      <w:r w:rsidRPr="003D30B4">
        <w:rPr>
          <w:vertAlign w:val="superscript"/>
        </w:rPr>
        <w:t>rd</w:t>
      </w:r>
      <w:r>
        <w:t xml:space="preserve"> week of spraying within Kasena</w:t>
      </w:r>
      <w:r w:rsidR="00220737">
        <w:t xml:space="preserve"> </w:t>
      </w:r>
      <w:r>
        <w:t>Nankana West &amp;</w:t>
      </w:r>
      <w:r w:rsidR="00220737">
        <w:t xml:space="preserve"> </w:t>
      </w:r>
      <w:r>
        <w:t xml:space="preserve">Bulsa North and South. </w:t>
      </w:r>
    </w:p>
    <w:p w:rsidR="00064741" w:rsidRDefault="00064741" w:rsidP="00DF26EE">
      <w:pPr>
        <w:pStyle w:val="NoSpacing"/>
      </w:pPr>
    </w:p>
    <w:p w:rsidR="00F00962" w:rsidRDefault="001659FE" w:rsidP="003D30B4">
      <w:pPr>
        <w:pStyle w:val="ListParagraph"/>
        <w:numPr>
          <w:ilvl w:val="0"/>
          <w:numId w:val="15"/>
        </w:numPr>
        <w:spacing w:after="0"/>
      </w:pPr>
      <w:r w:rsidRPr="003D30B4">
        <w:rPr>
          <w:b/>
        </w:rPr>
        <w:t>Resistance</w:t>
      </w:r>
      <w:r w:rsidR="00C02ED7">
        <w:t xml:space="preserve">- </w:t>
      </w:r>
      <w:r>
        <w:t>only in Obuasi.  WHO appro</w:t>
      </w:r>
      <w:r w:rsidR="00CA2BBE">
        <w:t>ved insecticide</w:t>
      </w:r>
      <w:r w:rsidR="00220737">
        <w:t>.</w:t>
      </w:r>
      <w:r w:rsidR="00CA2BBE">
        <w:t xml:space="preserve">  Actellic 300Cs currently in use</w:t>
      </w:r>
      <w:r>
        <w:t>.</w:t>
      </w:r>
    </w:p>
    <w:p w:rsidR="00F00962" w:rsidRDefault="00F00962" w:rsidP="00F00962">
      <w:pPr>
        <w:spacing w:after="0"/>
      </w:pPr>
    </w:p>
    <w:p w:rsidR="00F00962" w:rsidRDefault="00F00962" w:rsidP="00F00962">
      <w:pPr>
        <w:spacing w:after="0"/>
      </w:pPr>
      <w:r w:rsidRPr="00C02ED7">
        <w:rPr>
          <w:b/>
        </w:rPr>
        <w:t>I</w:t>
      </w:r>
      <w:r w:rsidR="00A712DB" w:rsidRPr="00C02ED7">
        <w:rPr>
          <w:b/>
        </w:rPr>
        <w:t xml:space="preserve">ssues </w:t>
      </w:r>
      <w:r w:rsidR="00C02ED7" w:rsidRPr="00C02ED7">
        <w:rPr>
          <w:b/>
        </w:rPr>
        <w:t>Related To Grant Making</w:t>
      </w:r>
      <w:r w:rsidR="00A712DB">
        <w:t xml:space="preserve">: </w:t>
      </w:r>
      <w:r w:rsidR="001659FE">
        <w:t xml:space="preserve"> - </w:t>
      </w:r>
    </w:p>
    <w:p w:rsidR="00F00962" w:rsidRPr="003D30B4" w:rsidRDefault="00F00962" w:rsidP="003D30B4">
      <w:pPr>
        <w:pStyle w:val="NoSpacing"/>
        <w:rPr>
          <w:sz w:val="16"/>
        </w:rPr>
      </w:pPr>
    </w:p>
    <w:p w:rsidR="00437D61" w:rsidRDefault="00F00962" w:rsidP="003D30B4">
      <w:pPr>
        <w:pStyle w:val="ListParagraph"/>
        <w:numPr>
          <w:ilvl w:val="0"/>
          <w:numId w:val="14"/>
        </w:numPr>
        <w:spacing w:after="0"/>
      </w:pPr>
      <w:r>
        <w:t>AGAMAL is c</w:t>
      </w:r>
      <w:r w:rsidR="001659FE">
        <w:t>urrently working on the submission check list. Intend</w:t>
      </w:r>
      <w:r>
        <w:t xml:space="preserve">s to submit the final document hopefully next day.  </w:t>
      </w:r>
    </w:p>
    <w:p w:rsidR="00437D61" w:rsidRDefault="00437D61" w:rsidP="00437D61">
      <w:pPr>
        <w:pStyle w:val="ListParagraph"/>
        <w:numPr>
          <w:ilvl w:val="0"/>
          <w:numId w:val="12"/>
        </w:numPr>
        <w:spacing w:after="0"/>
      </w:pPr>
      <w:r>
        <w:t>C</w:t>
      </w:r>
      <w:r w:rsidR="00EE595F">
        <w:t>omplicated nature</w:t>
      </w:r>
      <w:r>
        <w:t xml:space="preserve"> of </w:t>
      </w:r>
      <w:r w:rsidR="00EE595F">
        <w:t>the n</w:t>
      </w:r>
      <w:r w:rsidR="00AA38D9">
        <w:t>ew c</w:t>
      </w:r>
      <w:r w:rsidR="00430D64">
        <w:t xml:space="preserve">hecklist </w:t>
      </w:r>
      <w:r w:rsidR="00AA38D9">
        <w:t>template</w:t>
      </w:r>
      <w:r>
        <w:t xml:space="preserve">, extensive inclusions and short timelines placed extra workload on staff. </w:t>
      </w:r>
      <w:r w:rsidR="001659FE">
        <w:t xml:space="preserve">A one-day workshop </w:t>
      </w:r>
      <w:r>
        <w:t>w</w:t>
      </w:r>
      <w:r w:rsidR="001659FE">
        <w:t xml:space="preserve">ould have been useful.  </w:t>
      </w:r>
    </w:p>
    <w:p w:rsidR="00437D61" w:rsidRDefault="00437D61" w:rsidP="00437D61">
      <w:pPr>
        <w:pStyle w:val="ListParagraph"/>
        <w:numPr>
          <w:ilvl w:val="0"/>
          <w:numId w:val="12"/>
        </w:numPr>
        <w:spacing w:after="0"/>
      </w:pPr>
      <w:r>
        <w:t xml:space="preserve">AGAMAL </w:t>
      </w:r>
      <w:r w:rsidR="00D471E6">
        <w:t>were not privy but issues of compliance were raised.  It would have been much better if all these came before the concept note.</w:t>
      </w:r>
    </w:p>
    <w:p w:rsidR="00437D61" w:rsidRDefault="00B96F13" w:rsidP="00437D61">
      <w:pPr>
        <w:pStyle w:val="ListParagraph"/>
        <w:numPr>
          <w:ilvl w:val="0"/>
          <w:numId w:val="12"/>
        </w:numPr>
        <w:spacing w:after="0"/>
      </w:pPr>
      <w:r>
        <w:t>Some aspects of the requirements did not apply to</w:t>
      </w:r>
      <w:r w:rsidR="00437D61">
        <w:t xml:space="preserve"> AGAMAL but </w:t>
      </w:r>
      <w:r w:rsidR="0026398B">
        <w:t>mandatory</w:t>
      </w:r>
      <w:r w:rsidR="00437D61">
        <w:t>.</w:t>
      </w:r>
    </w:p>
    <w:p w:rsidR="0026398B" w:rsidRDefault="00B96F13" w:rsidP="00C02ED7">
      <w:pPr>
        <w:pStyle w:val="ListParagraph"/>
        <w:numPr>
          <w:ilvl w:val="0"/>
          <w:numId w:val="13"/>
        </w:numPr>
        <w:spacing w:after="0"/>
      </w:pPr>
      <w:r>
        <w:t xml:space="preserve">PR Specific templates preferred.  </w:t>
      </w:r>
    </w:p>
    <w:p w:rsidR="001659FE" w:rsidRDefault="0026398B" w:rsidP="00C02ED7">
      <w:pPr>
        <w:pStyle w:val="ListParagraph"/>
        <w:numPr>
          <w:ilvl w:val="0"/>
          <w:numId w:val="13"/>
        </w:numPr>
        <w:spacing w:after="0"/>
      </w:pPr>
      <w:r>
        <w:t>N</w:t>
      </w:r>
      <w:r w:rsidR="00B96F13">
        <w:t>eed to customize the dashboard as well</w:t>
      </w:r>
      <w:r>
        <w:t xml:space="preserve"> and make them PR-specific</w:t>
      </w:r>
      <w:r w:rsidR="00B96F13">
        <w:t>.</w:t>
      </w:r>
      <w:r w:rsidR="008729A1">
        <w:t xml:space="preserve"> (i.e. Should be PR Specific within programmes. E.g. AGAMAL &amp; NMCP)</w:t>
      </w:r>
    </w:p>
    <w:p w:rsidR="001659FE" w:rsidRDefault="001659FE" w:rsidP="001659FE">
      <w:pPr>
        <w:pStyle w:val="ListParagraph"/>
        <w:spacing w:after="0"/>
        <w:ind w:left="714"/>
        <w:contextualSpacing w:val="0"/>
      </w:pPr>
    </w:p>
    <w:p w:rsidR="00DF26EE" w:rsidRDefault="00DF26EE" w:rsidP="001659FE">
      <w:pPr>
        <w:pStyle w:val="ListParagraph"/>
        <w:spacing w:after="0"/>
        <w:ind w:left="714"/>
        <w:contextualSpacing w:val="0"/>
      </w:pPr>
    </w:p>
    <w:p w:rsidR="00B05674" w:rsidRDefault="00B05674" w:rsidP="001659FE">
      <w:pPr>
        <w:pStyle w:val="ListParagraph"/>
        <w:spacing w:after="0"/>
        <w:ind w:left="714"/>
        <w:contextualSpacing w:val="0"/>
      </w:pPr>
    </w:p>
    <w:p w:rsidR="00E360DF" w:rsidRDefault="00E360DF" w:rsidP="00172379">
      <w:pPr>
        <w:pStyle w:val="ListParagraph"/>
        <w:numPr>
          <w:ilvl w:val="0"/>
          <w:numId w:val="2"/>
        </w:numPr>
        <w:spacing w:after="120"/>
        <w:ind w:left="357" w:hanging="357"/>
        <w:contextualSpacing w:val="0"/>
        <w:jc w:val="both"/>
        <w:rPr>
          <w:b/>
        </w:rPr>
      </w:pPr>
      <w:r w:rsidRPr="00962157">
        <w:rPr>
          <w:b/>
        </w:rPr>
        <w:lastRenderedPageBreak/>
        <w:t>Financial Indicators:</w:t>
      </w:r>
    </w:p>
    <w:p w:rsidR="005229E5" w:rsidRPr="005229E5" w:rsidRDefault="005229E5" w:rsidP="005229E5">
      <w:pPr>
        <w:spacing w:after="120"/>
        <w:jc w:val="both"/>
        <w:rPr>
          <w:b/>
        </w:rPr>
      </w:pPr>
      <w:r>
        <w:rPr>
          <w:b/>
        </w:rPr>
        <w:t xml:space="preserve">What percentage of your budget has been spent?  </w:t>
      </w:r>
    </w:p>
    <w:tbl>
      <w:tblPr>
        <w:tblStyle w:val="TableGrid"/>
        <w:tblW w:w="0" w:type="auto"/>
        <w:tblInd w:w="279" w:type="dxa"/>
        <w:tblLook w:val="04A0" w:firstRow="1" w:lastRow="0" w:firstColumn="1" w:lastColumn="0" w:noHBand="0" w:noVBand="1"/>
      </w:tblPr>
      <w:tblGrid>
        <w:gridCol w:w="1937"/>
        <w:gridCol w:w="2807"/>
        <w:gridCol w:w="4371"/>
      </w:tblGrid>
      <w:tr w:rsidR="00E360DF" w:rsidTr="00FF2552">
        <w:tc>
          <w:tcPr>
            <w:tcW w:w="1937" w:type="dxa"/>
          </w:tcPr>
          <w:p w:rsidR="00E360DF" w:rsidRDefault="00E360DF" w:rsidP="00403A95">
            <w:pPr>
              <w:pStyle w:val="ListParagraph"/>
              <w:spacing w:before="120"/>
              <w:ind w:left="0"/>
              <w:contextualSpacing w:val="0"/>
              <w:jc w:val="both"/>
              <w:rPr>
                <w:b/>
              </w:rPr>
            </w:pPr>
            <w:r>
              <w:rPr>
                <w:b/>
              </w:rPr>
              <w:t>Indicator</w:t>
            </w:r>
          </w:p>
        </w:tc>
        <w:tc>
          <w:tcPr>
            <w:tcW w:w="2807" w:type="dxa"/>
          </w:tcPr>
          <w:p w:rsidR="00E360DF" w:rsidRDefault="00E360DF" w:rsidP="00403A95">
            <w:pPr>
              <w:pStyle w:val="ListParagraph"/>
              <w:spacing w:before="120"/>
              <w:ind w:left="0"/>
              <w:contextualSpacing w:val="0"/>
              <w:jc w:val="both"/>
              <w:rPr>
                <w:b/>
              </w:rPr>
            </w:pPr>
            <w:r>
              <w:rPr>
                <w:b/>
              </w:rPr>
              <w:t xml:space="preserve">Observation </w:t>
            </w:r>
          </w:p>
        </w:tc>
        <w:tc>
          <w:tcPr>
            <w:tcW w:w="4371"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F2552">
        <w:tc>
          <w:tcPr>
            <w:tcW w:w="1937" w:type="dxa"/>
          </w:tcPr>
          <w:p w:rsidR="00E360DF" w:rsidRDefault="0015382A" w:rsidP="00403A95">
            <w:pPr>
              <w:pStyle w:val="ListParagraph"/>
              <w:spacing w:before="120"/>
              <w:ind w:left="0"/>
              <w:contextualSpacing w:val="0"/>
              <w:jc w:val="both"/>
              <w:rPr>
                <w:b/>
              </w:rPr>
            </w:pPr>
            <w:r>
              <w:rPr>
                <w:b/>
              </w:rPr>
              <w:t>Absorption rate</w:t>
            </w:r>
          </w:p>
        </w:tc>
        <w:tc>
          <w:tcPr>
            <w:tcW w:w="2807" w:type="dxa"/>
          </w:tcPr>
          <w:p w:rsidR="007D11AD" w:rsidRPr="001571F6" w:rsidRDefault="005229E5" w:rsidP="00FF2552">
            <w:pPr>
              <w:spacing w:before="100" w:beforeAutospacing="1" w:after="100" w:afterAutospacing="1"/>
            </w:pPr>
            <w:r>
              <w:t>74%</w:t>
            </w:r>
          </w:p>
        </w:tc>
        <w:tc>
          <w:tcPr>
            <w:tcW w:w="4371" w:type="dxa"/>
          </w:tcPr>
          <w:p w:rsidR="00A31CA5" w:rsidRDefault="005229E5" w:rsidP="005229E5">
            <w:pPr>
              <w:spacing w:before="100" w:beforeAutospacing="1" w:after="100" w:afterAutospacing="1"/>
            </w:pPr>
            <w:r>
              <w:t xml:space="preserve">Expenditure pattern.  Major driving factor. Insecticide, HR, highest expenditures not being paid for. </w:t>
            </w:r>
            <w:r w:rsidR="0026398B">
              <w:t>Insecticide</w:t>
            </w:r>
            <w:r w:rsidR="00980F6F">
              <w:t>s</w:t>
            </w:r>
            <w:r>
              <w:t xml:space="preserve"> were not paid for Q2. Insecticide received in Q2 but payment made in Q3</w:t>
            </w:r>
            <w:r w:rsidR="005E412E">
              <w:t>.</w:t>
            </w:r>
          </w:p>
          <w:p w:rsidR="005229E5" w:rsidRPr="001571F6" w:rsidRDefault="005B63A5" w:rsidP="005B63A5">
            <w:pPr>
              <w:spacing w:before="100" w:beforeAutospacing="1" w:after="100" w:afterAutospacing="1"/>
            </w:pPr>
            <w:r>
              <w:t>D</w:t>
            </w:r>
            <w:r w:rsidR="005229E5">
              <w:t>elay in clearing insecticide due to new directives at the ports by the government to pay taxes upfront</w:t>
            </w:r>
            <w:r>
              <w:t xml:space="preserve"> delayed start of spraying season</w:t>
            </w:r>
            <w:r w:rsidR="005229E5">
              <w:t>.  Global Fund does not pa</w:t>
            </w:r>
            <w:r w:rsidR="005E412E">
              <w:t>y taxes.  That delayed clearing</w:t>
            </w:r>
            <w:r w:rsidR="005229E5">
              <w:t>.  The end also pushed into July so most of the cost expected in June spilled to July.</w:t>
            </w:r>
          </w:p>
        </w:tc>
      </w:tr>
    </w:tbl>
    <w:p w:rsidR="0015382A" w:rsidRDefault="0015382A" w:rsidP="00172379">
      <w:pPr>
        <w:pStyle w:val="ListParagraph"/>
        <w:numPr>
          <w:ilvl w:val="0"/>
          <w:numId w:val="2"/>
        </w:numPr>
        <w:spacing w:before="360" w:after="120"/>
        <w:ind w:left="357" w:hanging="357"/>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43"/>
        <w:gridCol w:w="3009"/>
        <w:gridCol w:w="4511"/>
      </w:tblGrid>
      <w:tr w:rsidR="00A712DB" w:rsidTr="001659FE">
        <w:tc>
          <w:tcPr>
            <w:tcW w:w="1765" w:type="dxa"/>
          </w:tcPr>
          <w:p w:rsidR="00A712DB" w:rsidRDefault="00A712DB" w:rsidP="001659FE">
            <w:pPr>
              <w:pStyle w:val="ListParagraph"/>
              <w:spacing w:before="120"/>
              <w:ind w:left="0"/>
              <w:contextualSpacing w:val="0"/>
              <w:jc w:val="both"/>
              <w:rPr>
                <w:b/>
              </w:rPr>
            </w:pPr>
            <w:r>
              <w:rPr>
                <w:b/>
              </w:rPr>
              <w:t>Indicator</w:t>
            </w:r>
          </w:p>
        </w:tc>
        <w:tc>
          <w:tcPr>
            <w:tcW w:w="3118" w:type="dxa"/>
          </w:tcPr>
          <w:p w:rsidR="00A712DB" w:rsidRDefault="00A712DB" w:rsidP="001659FE">
            <w:pPr>
              <w:pStyle w:val="ListParagraph"/>
              <w:spacing w:before="120"/>
              <w:ind w:left="0"/>
              <w:contextualSpacing w:val="0"/>
              <w:jc w:val="both"/>
              <w:rPr>
                <w:b/>
              </w:rPr>
            </w:pPr>
            <w:r>
              <w:rPr>
                <w:b/>
              </w:rPr>
              <w:t xml:space="preserve">Observation  </w:t>
            </w:r>
          </w:p>
        </w:tc>
        <w:tc>
          <w:tcPr>
            <w:tcW w:w="4710" w:type="dxa"/>
          </w:tcPr>
          <w:p w:rsidR="00A712DB" w:rsidRDefault="00A712DB" w:rsidP="001659FE">
            <w:pPr>
              <w:pStyle w:val="ListParagraph"/>
              <w:spacing w:before="120"/>
              <w:ind w:left="0"/>
              <w:contextualSpacing w:val="0"/>
              <w:jc w:val="both"/>
              <w:rPr>
                <w:b/>
              </w:rPr>
            </w:pPr>
            <w:r>
              <w:rPr>
                <w:b/>
              </w:rPr>
              <w:t xml:space="preserve">Answer / Decision </w:t>
            </w:r>
          </w:p>
        </w:tc>
      </w:tr>
      <w:tr w:rsidR="00A712DB" w:rsidTr="001659FE">
        <w:trPr>
          <w:trHeight w:val="558"/>
        </w:trPr>
        <w:tc>
          <w:tcPr>
            <w:tcW w:w="1765" w:type="dxa"/>
          </w:tcPr>
          <w:p w:rsidR="00A712DB" w:rsidRDefault="00A712DB" w:rsidP="001659FE">
            <w:pPr>
              <w:pStyle w:val="ListParagraph"/>
              <w:spacing w:before="120"/>
              <w:ind w:left="0"/>
              <w:contextualSpacing w:val="0"/>
              <w:rPr>
                <w:b/>
              </w:rPr>
            </w:pPr>
            <w:r>
              <w:rPr>
                <w:b/>
              </w:rPr>
              <w:t>Key position vacant</w:t>
            </w:r>
          </w:p>
        </w:tc>
        <w:tc>
          <w:tcPr>
            <w:tcW w:w="3118" w:type="dxa"/>
          </w:tcPr>
          <w:p w:rsidR="00A712DB" w:rsidRPr="001571F6" w:rsidRDefault="00E72741" w:rsidP="001659FE">
            <w:pPr>
              <w:pStyle w:val="ListParagraph"/>
              <w:spacing w:before="120"/>
              <w:ind w:left="34"/>
            </w:pPr>
            <w:r>
              <w:t>One vacancy</w:t>
            </w:r>
          </w:p>
        </w:tc>
        <w:tc>
          <w:tcPr>
            <w:tcW w:w="4710" w:type="dxa"/>
          </w:tcPr>
          <w:p w:rsidR="00A712DB" w:rsidRDefault="00E72741" w:rsidP="001659FE">
            <w:pPr>
              <w:pStyle w:val="ListParagraph"/>
              <w:spacing w:before="120"/>
              <w:ind w:left="0"/>
              <w:contextualSpacing w:val="0"/>
            </w:pPr>
            <w:r>
              <w:t>Sylvester</w:t>
            </w:r>
            <w:r w:rsidR="00A6029C">
              <w:t>, Programme Director resigned effective 1</w:t>
            </w:r>
            <w:r w:rsidR="00A6029C" w:rsidRPr="00A6029C">
              <w:rPr>
                <w:vertAlign w:val="superscript"/>
              </w:rPr>
              <w:t>st</w:t>
            </w:r>
            <w:r w:rsidR="00A6029C">
              <w:t xml:space="preserve"> March.  Ofosu-Kwabi, HoF Acting.  Advert placed in April but needed Board Approval.  Presented to the Board. Greenlight given to advertize.</w:t>
            </w:r>
          </w:p>
          <w:p w:rsidR="00A6029C" w:rsidRDefault="00A6029C" w:rsidP="001659FE">
            <w:pPr>
              <w:pStyle w:val="ListParagraph"/>
              <w:spacing w:before="120"/>
              <w:ind w:left="0"/>
              <w:contextualSpacing w:val="0"/>
            </w:pPr>
            <w:r>
              <w:t>Unfortunately they couldn’t find a suitable candidate from those who applied.</w:t>
            </w:r>
          </w:p>
          <w:p w:rsidR="00A6029C" w:rsidRPr="001571F6" w:rsidRDefault="00A6029C" w:rsidP="001659FE">
            <w:pPr>
              <w:pStyle w:val="ListParagraph"/>
              <w:spacing w:before="120"/>
              <w:ind w:left="0"/>
              <w:contextualSpacing w:val="0"/>
            </w:pPr>
            <w:r>
              <w:t>Feedback given to Board.  Greenlight given  to re-advertize the position. This was done in July so interview conducted last two weeks. But not privy to outcomes.</w:t>
            </w:r>
          </w:p>
        </w:tc>
      </w:tr>
      <w:tr w:rsidR="00A712DB" w:rsidTr="001659FE">
        <w:trPr>
          <w:trHeight w:val="558"/>
        </w:trPr>
        <w:tc>
          <w:tcPr>
            <w:tcW w:w="1765" w:type="dxa"/>
          </w:tcPr>
          <w:p w:rsidR="00A712DB" w:rsidRDefault="00A712DB" w:rsidP="001659FE">
            <w:pPr>
              <w:pStyle w:val="ListParagraph"/>
              <w:spacing w:before="120"/>
              <w:ind w:left="0"/>
              <w:contextualSpacing w:val="0"/>
              <w:rPr>
                <w:b/>
              </w:rPr>
            </w:pPr>
            <w:r>
              <w:rPr>
                <w:b/>
              </w:rPr>
              <w:t>Availability of commodities</w:t>
            </w:r>
          </w:p>
        </w:tc>
        <w:tc>
          <w:tcPr>
            <w:tcW w:w="3118" w:type="dxa"/>
          </w:tcPr>
          <w:p w:rsidR="00A712DB" w:rsidRPr="001571F6" w:rsidRDefault="00A6029C" w:rsidP="001659FE">
            <w:pPr>
              <w:spacing w:before="120"/>
            </w:pPr>
            <w:r>
              <w:t>Adequate commodities in stock.</w:t>
            </w:r>
          </w:p>
        </w:tc>
        <w:tc>
          <w:tcPr>
            <w:tcW w:w="4710" w:type="dxa"/>
          </w:tcPr>
          <w:p w:rsidR="00A712DB" w:rsidRDefault="00A6029C" w:rsidP="001659FE">
            <w:pPr>
              <w:pStyle w:val="ListParagraph"/>
              <w:spacing w:before="120"/>
              <w:ind w:left="0"/>
              <w:contextualSpacing w:val="0"/>
            </w:pPr>
            <w:r>
              <w:t>Commodities procured ahead of time.</w:t>
            </w:r>
          </w:p>
          <w:p w:rsidR="00A6029C" w:rsidRPr="001571F6" w:rsidRDefault="00A6029C" w:rsidP="001659FE">
            <w:pPr>
              <w:pStyle w:val="ListParagraph"/>
              <w:spacing w:before="120"/>
              <w:ind w:left="0"/>
              <w:contextualSpacing w:val="0"/>
            </w:pPr>
            <w:r>
              <w:t xml:space="preserve">Dashboard need to be reviewed to reflect actual position since the spraying is seasonal and what is left after the quarter is a buffer.  </w:t>
            </w:r>
          </w:p>
        </w:tc>
      </w:tr>
      <w:tr w:rsidR="00A712DB" w:rsidTr="001659FE">
        <w:tc>
          <w:tcPr>
            <w:tcW w:w="1765" w:type="dxa"/>
          </w:tcPr>
          <w:p w:rsidR="00A712DB" w:rsidRDefault="00A712DB" w:rsidP="001659FE">
            <w:pPr>
              <w:pStyle w:val="ListParagraph"/>
              <w:spacing w:before="120"/>
              <w:ind w:left="0"/>
              <w:contextualSpacing w:val="0"/>
              <w:rPr>
                <w:b/>
              </w:rPr>
            </w:pPr>
            <w:r>
              <w:rPr>
                <w:b/>
              </w:rPr>
              <w:t>Supervisory visits past due</w:t>
            </w:r>
          </w:p>
        </w:tc>
        <w:tc>
          <w:tcPr>
            <w:tcW w:w="3118" w:type="dxa"/>
          </w:tcPr>
          <w:p w:rsidR="00A712DB" w:rsidRPr="001571F6" w:rsidRDefault="00A6029C" w:rsidP="001659FE">
            <w:pPr>
              <w:pStyle w:val="ListParagraph"/>
              <w:spacing w:before="120"/>
              <w:ind w:left="0"/>
              <w:contextualSpacing w:val="0"/>
            </w:pPr>
            <w:r>
              <w:t>All communities visited.</w:t>
            </w:r>
          </w:p>
        </w:tc>
        <w:tc>
          <w:tcPr>
            <w:tcW w:w="4710" w:type="dxa"/>
          </w:tcPr>
          <w:p w:rsidR="00A712DB" w:rsidRPr="001571F6" w:rsidRDefault="00A6029C" w:rsidP="008729A1">
            <w:pPr>
              <w:pStyle w:val="ListParagraph"/>
              <w:spacing w:before="120"/>
              <w:ind w:left="0"/>
              <w:contextualSpacing w:val="0"/>
            </w:pPr>
            <w:r>
              <w:t xml:space="preserve">Visits at two levels – regional level and Head Office level. Every </w:t>
            </w:r>
            <w:r w:rsidR="008729A1">
              <w:t xml:space="preserve">Head of Department has </w:t>
            </w:r>
            <w:r>
              <w:t>been out there at least twice.   Issues dealt with.  Safety manager has been on the trip.  Data Audit – environmental etc. to take place soon.</w:t>
            </w:r>
            <w:r w:rsidR="005F303E">
              <w:t xml:space="preserve">  Internal Audit conducted.  Also another auditor conducting follow-ups to ensure that safety standards are not compromised.  </w:t>
            </w:r>
            <w:r w:rsidR="005F303E">
              <w:lastRenderedPageBreak/>
              <w:t>Currently ongoing.  Due to pull out over a number of years, a lot of ground work has to be done. Community engagement is ongoing.</w:t>
            </w:r>
          </w:p>
        </w:tc>
      </w:tr>
    </w:tbl>
    <w:p w:rsidR="0015382A" w:rsidRDefault="00E360DF" w:rsidP="00172379">
      <w:pPr>
        <w:pStyle w:val="ListParagraph"/>
        <w:numPr>
          <w:ilvl w:val="0"/>
          <w:numId w:val="2"/>
        </w:numPr>
        <w:spacing w:before="360" w:after="120"/>
        <w:ind w:left="357" w:hanging="357"/>
        <w:contextualSpacing w:val="0"/>
        <w:jc w:val="both"/>
        <w:rPr>
          <w:b/>
        </w:rPr>
      </w:pPr>
      <w:r w:rsidRPr="007D6E1C">
        <w:rPr>
          <w:b/>
        </w:rPr>
        <w:lastRenderedPageBreak/>
        <w:t>Programmatic Indicators:</w:t>
      </w:r>
    </w:p>
    <w:tbl>
      <w:tblPr>
        <w:tblStyle w:val="TableGrid"/>
        <w:tblW w:w="0" w:type="auto"/>
        <w:tblInd w:w="357" w:type="dxa"/>
        <w:tblLook w:val="04A0" w:firstRow="1" w:lastRow="0" w:firstColumn="1" w:lastColumn="0" w:noHBand="0" w:noVBand="1"/>
      </w:tblPr>
      <w:tblGrid>
        <w:gridCol w:w="1712"/>
        <w:gridCol w:w="2946"/>
        <w:gridCol w:w="4379"/>
      </w:tblGrid>
      <w:tr w:rsidR="00B1636C" w:rsidTr="005D21A8">
        <w:tc>
          <w:tcPr>
            <w:tcW w:w="1712" w:type="dxa"/>
          </w:tcPr>
          <w:p w:rsidR="00B1636C" w:rsidRDefault="00B1636C" w:rsidP="001659FE">
            <w:pPr>
              <w:pStyle w:val="ListParagraph"/>
              <w:spacing w:before="120"/>
              <w:ind w:left="0"/>
              <w:contextualSpacing w:val="0"/>
              <w:jc w:val="both"/>
              <w:rPr>
                <w:b/>
              </w:rPr>
            </w:pPr>
            <w:r>
              <w:rPr>
                <w:b/>
              </w:rPr>
              <w:t>Indicator</w:t>
            </w:r>
          </w:p>
        </w:tc>
        <w:tc>
          <w:tcPr>
            <w:tcW w:w="2946" w:type="dxa"/>
          </w:tcPr>
          <w:p w:rsidR="00B1636C" w:rsidRDefault="00B1636C" w:rsidP="001659FE">
            <w:pPr>
              <w:pStyle w:val="ListParagraph"/>
              <w:spacing w:before="120"/>
              <w:ind w:left="0"/>
              <w:contextualSpacing w:val="0"/>
              <w:jc w:val="both"/>
              <w:rPr>
                <w:b/>
              </w:rPr>
            </w:pPr>
            <w:r>
              <w:rPr>
                <w:b/>
              </w:rPr>
              <w:t xml:space="preserve">Observation  </w:t>
            </w:r>
          </w:p>
        </w:tc>
        <w:tc>
          <w:tcPr>
            <w:tcW w:w="4379" w:type="dxa"/>
          </w:tcPr>
          <w:p w:rsidR="00B1636C" w:rsidRDefault="00B1636C" w:rsidP="001659FE">
            <w:pPr>
              <w:pStyle w:val="ListParagraph"/>
              <w:spacing w:before="120"/>
              <w:ind w:left="0"/>
              <w:contextualSpacing w:val="0"/>
              <w:jc w:val="both"/>
              <w:rPr>
                <w:b/>
              </w:rPr>
            </w:pPr>
            <w:r>
              <w:rPr>
                <w:b/>
              </w:rPr>
              <w:t xml:space="preserve">Answer / Decision </w:t>
            </w:r>
          </w:p>
        </w:tc>
      </w:tr>
      <w:tr w:rsidR="00B1636C" w:rsidTr="005D21A8">
        <w:trPr>
          <w:trHeight w:val="558"/>
        </w:trPr>
        <w:tc>
          <w:tcPr>
            <w:tcW w:w="1712" w:type="dxa"/>
          </w:tcPr>
          <w:p w:rsidR="00B1636C" w:rsidRDefault="00B1636C" w:rsidP="001659FE">
            <w:pPr>
              <w:pStyle w:val="ListParagraph"/>
              <w:spacing w:before="120"/>
              <w:ind w:left="0"/>
              <w:contextualSpacing w:val="0"/>
              <w:rPr>
                <w:b/>
              </w:rPr>
            </w:pPr>
            <w:r>
              <w:rPr>
                <w:b/>
              </w:rPr>
              <w:t>IRS population</w:t>
            </w:r>
          </w:p>
        </w:tc>
        <w:tc>
          <w:tcPr>
            <w:tcW w:w="2946" w:type="dxa"/>
          </w:tcPr>
          <w:p w:rsidR="00985BC6" w:rsidRDefault="00985BC6" w:rsidP="00FF2552">
            <w:pPr>
              <w:pStyle w:val="ListParagraph"/>
              <w:spacing w:before="120"/>
              <w:ind w:left="34"/>
            </w:pPr>
            <w:r>
              <w:t>85% population coverage.</w:t>
            </w:r>
          </w:p>
          <w:p w:rsidR="00985BC6" w:rsidRDefault="00985BC6" w:rsidP="00FF2552">
            <w:pPr>
              <w:pStyle w:val="ListParagraph"/>
              <w:spacing w:before="120"/>
              <w:ind w:left="34"/>
            </w:pPr>
          </w:p>
          <w:p w:rsidR="00985BC6" w:rsidRDefault="00985BC6" w:rsidP="00FF2552">
            <w:pPr>
              <w:pStyle w:val="ListParagraph"/>
              <w:spacing w:before="120"/>
              <w:ind w:left="34"/>
            </w:pPr>
          </w:p>
          <w:p w:rsidR="00985BC6" w:rsidRDefault="00985BC6" w:rsidP="00FF2552">
            <w:pPr>
              <w:pStyle w:val="ListParagraph"/>
              <w:spacing w:before="120"/>
              <w:ind w:left="34"/>
            </w:pPr>
          </w:p>
          <w:p w:rsidR="00985BC6" w:rsidRDefault="00985BC6" w:rsidP="00FF2552">
            <w:pPr>
              <w:pStyle w:val="ListParagraph"/>
              <w:spacing w:before="120"/>
              <w:ind w:left="34"/>
            </w:pPr>
          </w:p>
          <w:p w:rsidR="00985BC6" w:rsidRDefault="00985BC6" w:rsidP="00FF2552">
            <w:pPr>
              <w:pStyle w:val="ListParagraph"/>
              <w:spacing w:before="120"/>
              <w:ind w:left="34"/>
            </w:pPr>
          </w:p>
          <w:p w:rsidR="00985BC6" w:rsidRDefault="00985BC6" w:rsidP="00FF2552">
            <w:pPr>
              <w:pStyle w:val="ListParagraph"/>
              <w:spacing w:before="120"/>
              <w:ind w:left="34"/>
            </w:pPr>
          </w:p>
          <w:p w:rsidR="00985BC6" w:rsidRDefault="00985BC6" w:rsidP="00FF2552">
            <w:pPr>
              <w:pStyle w:val="ListParagraph"/>
              <w:spacing w:before="120"/>
              <w:ind w:left="34"/>
            </w:pPr>
          </w:p>
          <w:p w:rsidR="00B1636C" w:rsidRDefault="005F303E" w:rsidP="00FF2552">
            <w:pPr>
              <w:pStyle w:val="ListParagraph"/>
              <w:spacing w:before="120"/>
              <w:ind w:left="34"/>
            </w:pPr>
            <w:r>
              <w:t xml:space="preserve">21 communities taken </w:t>
            </w:r>
            <w:r w:rsidR="00981DCC">
              <w:t>off  from WA West District.</w:t>
            </w:r>
          </w:p>
          <w:p w:rsidR="00511B10" w:rsidRDefault="00511B10" w:rsidP="00FF2552">
            <w:pPr>
              <w:pStyle w:val="ListParagraph"/>
              <w:spacing w:before="120"/>
              <w:ind w:left="34"/>
            </w:pPr>
          </w:p>
          <w:p w:rsidR="00511B10" w:rsidRDefault="00511B10" w:rsidP="00FF2552">
            <w:pPr>
              <w:pStyle w:val="ListParagraph"/>
              <w:spacing w:before="120"/>
              <w:ind w:left="34"/>
            </w:pPr>
          </w:p>
          <w:p w:rsidR="00033D3D" w:rsidRDefault="00033D3D" w:rsidP="00FF2552">
            <w:pPr>
              <w:pStyle w:val="ListParagraph"/>
              <w:spacing w:before="120"/>
              <w:ind w:left="34"/>
            </w:pPr>
          </w:p>
          <w:p w:rsidR="00033D3D" w:rsidRDefault="00033D3D" w:rsidP="00FF2552">
            <w:pPr>
              <w:pStyle w:val="ListParagraph"/>
              <w:spacing w:before="120"/>
              <w:ind w:left="34"/>
            </w:pPr>
          </w:p>
          <w:p w:rsidR="00790333" w:rsidRDefault="00790333" w:rsidP="00FF2552">
            <w:pPr>
              <w:pStyle w:val="ListParagraph"/>
              <w:spacing w:before="120"/>
              <w:ind w:left="34"/>
            </w:pPr>
          </w:p>
          <w:p w:rsidR="00790333" w:rsidRDefault="00790333" w:rsidP="00FF2552">
            <w:pPr>
              <w:pStyle w:val="ListParagraph"/>
              <w:spacing w:before="120"/>
              <w:ind w:left="34"/>
            </w:pPr>
          </w:p>
          <w:p w:rsidR="00790333" w:rsidRDefault="00790333" w:rsidP="00FF2552">
            <w:pPr>
              <w:pStyle w:val="ListParagraph"/>
              <w:spacing w:before="120"/>
              <w:ind w:left="34"/>
            </w:pPr>
          </w:p>
          <w:p w:rsidR="00790333" w:rsidRDefault="00790333" w:rsidP="00FF2552">
            <w:pPr>
              <w:pStyle w:val="ListParagraph"/>
              <w:spacing w:before="120"/>
              <w:ind w:left="34"/>
            </w:pPr>
          </w:p>
          <w:p w:rsidR="00790333" w:rsidRDefault="00790333" w:rsidP="00FF2552">
            <w:pPr>
              <w:pStyle w:val="ListParagraph"/>
              <w:spacing w:before="120"/>
              <w:ind w:left="34"/>
            </w:pPr>
          </w:p>
          <w:p w:rsidR="00790333" w:rsidRDefault="00790333" w:rsidP="00FF2552">
            <w:pPr>
              <w:pStyle w:val="ListParagraph"/>
              <w:spacing w:before="120"/>
              <w:ind w:left="34"/>
            </w:pPr>
          </w:p>
          <w:p w:rsidR="00A670CD" w:rsidRDefault="00A670CD" w:rsidP="00FF2552">
            <w:pPr>
              <w:pStyle w:val="ListParagraph"/>
              <w:spacing w:before="120"/>
              <w:ind w:left="34"/>
            </w:pPr>
          </w:p>
          <w:p w:rsidR="00A670CD" w:rsidRDefault="00A670CD" w:rsidP="00FF2552">
            <w:pPr>
              <w:pStyle w:val="ListParagraph"/>
              <w:spacing w:before="120"/>
              <w:ind w:left="34"/>
            </w:pPr>
          </w:p>
          <w:p w:rsidR="00A670CD" w:rsidRDefault="00A670CD" w:rsidP="00FF2552">
            <w:pPr>
              <w:pStyle w:val="ListParagraph"/>
              <w:spacing w:before="120"/>
              <w:ind w:left="34"/>
            </w:pPr>
          </w:p>
          <w:p w:rsidR="00A670CD" w:rsidRDefault="00A670CD" w:rsidP="00FF2552">
            <w:pPr>
              <w:pStyle w:val="ListParagraph"/>
              <w:spacing w:before="120"/>
              <w:ind w:left="34"/>
            </w:pPr>
          </w:p>
          <w:p w:rsidR="00A670CD" w:rsidRDefault="00A670CD" w:rsidP="00FF2552">
            <w:pPr>
              <w:pStyle w:val="ListParagraph"/>
              <w:spacing w:before="120"/>
              <w:ind w:left="34"/>
            </w:pPr>
          </w:p>
          <w:p w:rsidR="00A456BD" w:rsidRDefault="00A456BD" w:rsidP="00FF2552">
            <w:pPr>
              <w:pStyle w:val="ListParagraph"/>
              <w:spacing w:before="120"/>
              <w:ind w:left="34"/>
            </w:pPr>
          </w:p>
          <w:p w:rsidR="00A456BD" w:rsidRDefault="00A456BD" w:rsidP="00FF2552">
            <w:pPr>
              <w:pStyle w:val="ListParagraph"/>
              <w:spacing w:before="120"/>
              <w:ind w:left="34"/>
            </w:pPr>
          </w:p>
          <w:p w:rsidR="00A456BD" w:rsidRDefault="00A456BD" w:rsidP="00FF2552">
            <w:pPr>
              <w:pStyle w:val="ListParagraph"/>
              <w:spacing w:before="120"/>
              <w:ind w:left="34"/>
            </w:pPr>
          </w:p>
          <w:p w:rsidR="00A456BD" w:rsidRDefault="00A456BD" w:rsidP="00FF2552">
            <w:pPr>
              <w:pStyle w:val="ListParagraph"/>
              <w:spacing w:before="120"/>
              <w:ind w:left="34"/>
            </w:pPr>
          </w:p>
          <w:p w:rsidR="00A456BD" w:rsidRDefault="00A456BD" w:rsidP="00FF2552">
            <w:pPr>
              <w:pStyle w:val="ListParagraph"/>
              <w:spacing w:before="120"/>
              <w:ind w:left="34"/>
            </w:pPr>
          </w:p>
          <w:p w:rsidR="00FE0736" w:rsidRPr="00980F6F" w:rsidRDefault="00511B10" w:rsidP="00FE0736">
            <w:pPr>
              <w:pStyle w:val="ListParagraph"/>
              <w:spacing w:before="120"/>
              <w:ind w:left="0"/>
              <w:contextualSpacing w:val="0"/>
              <w:rPr>
                <w:i/>
              </w:rPr>
            </w:pPr>
            <w:r w:rsidRPr="00980F6F">
              <w:rPr>
                <w:i/>
              </w:rPr>
              <w:t>3 extra districts added in UE as a result of ENGIN subsidy.</w:t>
            </w:r>
            <w:r w:rsidR="00FE0736" w:rsidRPr="00980F6F">
              <w:rPr>
                <w:i/>
              </w:rPr>
              <w:t xml:space="preserve"> Original plan was for 10 communities.  But because of ENGIN IRS subsidy required extension to other districts. </w:t>
            </w:r>
          </w:p>
          <w:p w:rsidR="00511B10" w:rsidRPr="001571F6" w:rsidRDefault="00511B10" w:rsidP="00FF2552">
            <w:pPr>
              <w:pStyle w:val="ListParagraph"/>
              <w:spacing w:before="120"/>
              <w:ind w:left="34"/>
            </w:pPr>
          </w:p>
        </w:tc>
        <w:tc>
          <w:tcPr>
            <w:tcW w:w="4379" w:type="dxa"/>
          </w:tcPr>
          <w:p w:rsidR="00985BC6" w:rsidRDefault="00985BC6" w:rsidP="001659FE">
            <w:pPr>
              <w:pStyle w:val="ListParagraph"/>
              <w:spacing w:before="120"/>
              <w:ind w:left="0"/>
              <w:contextualSpacing w:val="0"/>
            </w:pPr>
            <w:r>
              <w:t>Obuasi having challenge in terms of population as a result of shut down of mines. More than half of workers laid off due to redevelopment and redesign of mine using technology rather than humans.</w:t>
            </w:r>
          </w:p>
          <w:p w:rsidR="00985BC6" w:rsidRDefault="00985BC6" w:rsidP="001659FE">
            <w:pPr>
              <w:pStyle w:val="ListParagraph"/>
              <w:spacing w:before="120"/>
              <w:ind w:left="0"/>
              <w:contextualSpacing w:val="0"/>
            </w:pPr>
          </w:p>
          <w:p w:rsidR="00511B10" w:rsidRDefault="0026398B" w:rsidP="001659FE">
            <w:pPr>
              <w:pStyle w:val="ListParagraph"/>
              <w:spacing w:before="120"/>
              <w:ind w:left="0"/>
              <w:contextualSpacing w:val="0"/>
            </w:pPr>
            <w:r>
              <w:t>As a result of</w:t>
            </w:r>
            <w:r w:rsidR="00790333">
              <w:t xml:space="preserve"> alleged </w:t>
            </w:r>
            <w:r w:rsidR="00033D3D">
              <w:t xml:space="preserve">contamination issues.  </w:t>
            </w:r>
            <w:r w:rsidR="00981DCC">
              <w:t xml:space="preserve">Extrapolations done.   </w:t>
            </w:r>
            <w:r w:rsidR="00790333">
              <w:t>The structures pulled out from are compensated for in other districts.  More than 100 percent of structures sprayed.</w:t>
            </w:r>
            <w:r w:rsidR="008729A1">
              <w:t xml:space="preserve"> This is possible as</w:t>
            </w:r>
            <w:r w:rsidR="00A456BD">
              <w:t xml:space="preserve"> a result of</w:t>
            </w:r>
            <w:r w:rsidR="008729A1">
              <w:t xml:space="preserve"> new structures spring</w:t>
            </w:r>
            <w:r w:rsidR="00A456BD">
              <w:t xml:space="preserve">ing </w:t>
            </w:r>
            <w:r w:rsidR="008729A1">
              <w:t xml:space="preserve">up </w:t>
            </w:r>
            <w:r w:rsidR="00A456BD">
              <w:t xml:space="preserve">within the districts daily. </w:t>
            </w:r>
          </w:p>
          <w:p w:rsidR="00033D3D" w:rsidRDefault="00033D3D" w:rsidP="001659FE">
            <w:pPr>
              <w:pStyle w:val="ListParagraph"/>
              <w:spacing w:before="120"/>
              <w:ind w:left="0"/>
              <w:contextualSpacing w:val="0"/>
            </w:pPr>
            <w:r>
              <w:t>Savings not significant.</w:t>
            </w:r>
          </w:p>
          <w:p w:rsidR="00511B10" w:rsidRDefault="00790333" w:rsidP="001659FE">
            <w:pPr>
              <w:pStyle w:val="ListParagraph"/>
              <w:spacing w:before="120"/>
              <w:ind w:left="0"/>
              <w:contextualSpacing w:val="0"/>
            </w:pPr>
            <w:r>
              <w:t>Organic producers asked to post stickers to avoid IRS.</w:t>
            </w:r>
            <w:r w:rsidR="008729A1">
              <w:t xml:space="preserve"> Within a specific compound, there may be various structures for different purposes.  In this case they are advised to paste the stickers on the structures which may contain stuff that they do not want the chemical to come into contact with. </w:t>
            </w:r>
          </w:p>
          <w:p w:rsidR="00A670CD" w:rsidRDefault="00A670CD" w:rsidP="001659FE">
            <w:pPr>
              <w:pStyle w:val="ListParagraph"/>
              <w:spacing w:before="120"/>
              <w:ind w:left="0"/>
              <w:contextualSpacing w:val="0"/>
            </w:pPr>
            <w:r>
              <w:t>Contamination Issue – all stakeholders met in Wa to substantiate claim. Committee formed. AGAMAL not culpable.</w:t>
            </w:r>
            <w:r w:rsidR="00B05674">
              <w:t xml:space="preserve"> </w:t>
            </w:r>
            <w:r>
              <w:t>Alleged active chemical in contaminants available in insecticide</w:t>
            </w:r>
            <w:r w:rsidR="005B63A5">
              <w:t>s</w:t>
            </w:r>
            <w:r>
              <w:t xml:space="preserve"> on the open market.</w:t>
            </w:r>
          </w:p>
          <w:p w:rsidR="00A670CD" w:rsidRDefault="00A670CD" w:rsidP="001659FE">
            <w:pPr>
              <w:pStyle w:val="ListParagraph"/>
              <w:spacing w:before="120"/>
              <w:ind w:left="0"/>
              <w:contextualSpacing w:val="0"/>
            </w:pPr>
            <w:r>
              <w:t>Chemical found in control districts.</w:t>
            </w:r>
          </w:p>
          <w:p w:rsidR="005B63A5" w:rsidRDefault="005B63A5" w:rsidP="001659FE">
            <w:pPr>
              <w:pStyle w:val="ListParagraph"/>
              <w:spacing w:before="120"/>
              <w:ind w:left="0"/>
              <w:contextualSpacing w:val="0"/>
            </w:pPr>
          </w:p>
          <w:p w:rsidR="00981DCC" w:rsidRPr="00980F6F" w:rsidRDefault="005B63A5" w:rsidP="001659FE">
            <w:pPr>
              <w:pStyle w:val="ListParagraph"/>
              <w:spacing w:before="120"/>
              <w:ind w:left="0"/>
              <w:contextualSpacing w:val="0"/>
              <w:rPr>
                <w:i/>
              </w:rPr>
            </w:pPr>
            <w:r>
              <w:t>NGen</w:t>
            </w:r>
            <w:r w:rsidR="00981DCC" w:rsidRPr="00980F6F">
              <w:rPr>
                <w:i/>
              </w:rPr>
              <w:t xml:space="preserve"> IRS outputs not reported as part of </w:t>
            </w:r>
            <w:r w:rsidR="00FE0736" w:rsidRPr="00980F6F">
              <w:rPr>
                <w:i/>
              </w:rPr>
              <w:t xml:space="preserve">GF Dashboard </w:t>
            </w:r>
            <w:r w:rsidR="00981DCC" w:rsidRPr="00980F6F">
              <w:rPr>
                <w:i/>
              </w:rPr>
              <w:t>figures  (subsidy on insecticide)  Subsidy of $9/bottle  on each bottle.  Condition for subsidy is to extend IRS coverage.</w:t>
            </w:r>
            <w:r w:rsidR="008729A1">
              <w:rPr>
                <w:i/>
              </w:rPr>
              <w:t xml:space="preserve">  Yes. Both are not reported.  This could therefore be off the records.  But was deliberately placed in for information purposes</w:t>
            </w:r>
            <w:r w:rsidR="00A456BD">
              <w:rPr>
                <w:i/>
              </w:rPr>
              <w:t xml:space="preserve"> only.</w:t>
            </w:r>
          </w:p>
          <w:p w:rsidR="00511B10" w:rsidRPr="001571F6" w:rsidRDefault="00511B10" w:rsidP="001659FE">
            <w:pPr>
              <w:pStyle w:val="ListParagraph"/>
              <w:spacing w:before="120"/>
              <w:ind w:left="0"/>
              <w:contextualSpacing w:val="0"/>
            </w:pPr>
          </w:p>
        </w:tc>
      </w:tr>
      <w:tr w:rsidR="00A712DB" w:rsidTr="005D21A8">
        <w:trPr>
          <w:trHeight w:val="558"/>
        </w:trPr>
        <w:tc>
          <w:tcPr>
            <w:tcW w:w="1712" w:type="dxa"/>
          </w:tcPr>
          <w:p w:rsidR="00A712DB" w:rsidRDefault="00A712DB" w:rsidP="001659FE">
            <w:pPr>
              <w:pStyle w:val="ListParagraph"/>
              <w:spacing w:before="120"/>
              <w:ind w:left="0"/>
              <w:contextualSpacing w:val="0"/>
              <w:rPr>
                <w:b/>
              </w:rPr>
            </w:pPr>
            <w:r>
              <w:rPr>
                <w:b/>
              </w:rPr>
              <w:lastRenderedPageBreak/>
              <w:t>IRS structures</w:t>
            </w:r>
          </w:p>
        </w:tc>
        <w:tc>
          <w:tcPr>
            <w:tcW w:w="2946" w:type="dxa"/>
          </w:tcPr>
          <w:p w:rsidR="00BC4961" w:rsidRDefault="00BC4961" w:rsidP="00E27978">
            <w:pPr>
              <w:spacing w:before="100" w:beforeAutospacing="1" w:after="100" w:afterAutospacing="1"/>
            </w:pPr>
            <w:r>
              <w:t xml:space="preserve">93% </w:t>
            </w:r>
            <w:r w:rsidR="008A7042">
              <w:t>structures</w:t>
            </w:r>
            <w:r>
              <w:t xml:space="preserve"> overall.</w:t>
            </w:r>
          </w:p>
          <w:p w:rsidR="00A712DB" w:rsidRPr="001571F6" w:rsidRDefault="00A712DB" w:rsidP="00BC4961">
            <w:pPr>
              <w:spacing w:before="100" w:beforeAutospacing="1" w:after="100" w:afterAutospacing="1"/>
            </w:pPr>
          </w:p>
        </w:tc>
        <w:tc>
          <w:tcPr>
            <w:tcW w:w="4379" w:type="dxa"/>
          </w:tcPr>
          <w:p w:rsidR="00A712DB" w:rsidRDefault="00BC4961" w:rsidP="005B63A5">
            <w:pPr>
              <w:spacing w:before="100" w:beforeAutospacing="1" w:after="100" w:afterAutospacing="1"/>
            </w:pPr>
            <w:r>
              <w:t xml:space="preserve"> Obuasi structures = 103% but less population (65%)</w:t>
            </w:r>
            <w:r w:rsidR="005B63A5">
              <w:t xml:space="preserve"> due to mine closure and migration of former mining staff</w:t>
            </w:r>
            <w:r>
              <w:t>.  Need to redefine targets for Obuasi</w:t>
            </w:r>
            <w:r w:rsidR="008A7042">
              <w:t xml:space="preserve"> subsequently</w:t>
            </w:r>
            <w:r>
              <w:t>.</w:t>
            </w:r>
          </w:p>
        </w:tc>
      </w:tr>
      <w:tr w:rsidR="00E27978" w:rsidTr="005D21A8">
        <w:trPr>
          <w:trHeight w:val="558"/>
        </w:trPr>
        <w:tc>
          <w:tcPr>
            <w:tcW w:w="1712" w:type="dxa"/>
          </w:tcPr>
          <w:p w:rsidR="00E27978" w:rsidRDefault="00E27978" w:rsidP="001659FE">
            <w:pPr>
              <w:pStyle w:val="ListParagraph"/>
              <w:spacing w:before="120"/>
              <w:ind w:left="0"/>
              <w:contextualSpacing w:val="0"/>
              <w:rPr>
                <w:b/>
              </w:rPr>
            </w:pPr>
            <w:r>
              <w:rPr>
                <w:b/>
              </w:rPr>
              <w:t>Staff trained on IRS</w:t>
            </w:r>
          </w:p>
        </w:tc>
        <w:tc>
          <w:tcPr>
            <w:tcW w:w="2946" w:type="dxa"/>
          </w:tcPr>
          <w:p w:rsidR="00E27978" w:rsidRPr="001571F6" w:rsidRDefault="00985BC6" w:rsidP="00985BC6">
            <w:pPr>
              <w:spacing w:before="100" w:beforeAutospacing="1" w:after="100" w:afterAutospacing="1"/>
            </w:pPr>
            <w:r>
              <w:t xml:space="preserve">Target: 797. Achieved 776 recruited.  </w:t>
            </w:r>
          </w:p>
        </w:tc>
        <w:tc>
          <w:tcPr>
            <w:tcW w:w="4379" w:type="dxa"/>
          </w:tcPr>
          <w:p w:rsidR="00E27978" w:rsidRDefault="00A670CD" w:rsidP="00FF2552">
            <w:pPr>
              <w:spacing w:before="100" w:beforeAutospacing="1" w:after="100" w:afterAutospacing="1"/>
            </w:pPr>
            <w:r>
              <w:t>Two levels – full training  (10) and refresher (5 day)</w:t>
            </w:r>
          </w:p>
        </w:tc>
      </w:tr>
      <w:tr w:rsidR="00A712DB" w:rsidTr="005D21A8">
        <w:trPr>
          <w:trHeight w:val="558"/>
        </w:trPr>
        <w:tc>
          <w:tcPr>
            <w:tcW w:w="1712" w:type="dxa"/>
          </w:tcPr>
          <w:p w:rsidR="00A712DB" w:rsidRDefault="00A712DB" w:rsidP="001659FE">
            <w:pPr>
              <w:pStyle w:val="ListParagraph"/>
              <w:spacing w:before="120"/>
              <w:ind w:left="0"/>
              <w:contextualSpacing w:val="0"/>
              <w:rPr>
                <w:b/>
              </w:rPr>
            </w:pPr>
            <w:r>
              <w:rPr>
                <w:b/>
              </w:rPr>
              <w:t>Sentinel sites</w:t>
            </w:r>
          </w:p>
        </w:tc>
        <w:tc>
          <w:tcPr>
            <w:tcW w:w="2946" w:type="dxa"/>
          </w:tcPr>
          <w:p w:rsidR="00A712DB" w:rsidRPr="001571F6" w:rsidRDefault="00985BC6" w:rsidP="00E27978">
            <w:pPr>
              <w:spacing w:before="100" w:beforeAutospacing="1" w:after="100" w:afterAutospacing="1"/>
            </w:pPr>
            <w:r>
              <w:t>3 sentinel sites in Obuasi only.</w:t>
            </w:r>
          </w:p>
        </w:tc>
        <w:tc>
          <w:tcPr>
            <w:tcW w:w="4379" w:type="dxa"/>
          </w:tcPr>
          <w:p w:rsidR="00985BC6" w:rsidRDefault="00985BC6" w:rsidP="00FF2552">
            <w:pPr>
              <w:spacing w:before="100" w:beforeAutospacing="1" w:after="100" w:afterAutospacing="1"/>
            </w:pPr>
            <w:r>
              <w:t>Initially in every district of operation.  Since GHS was doing similar data collection. We decommissioned to use GHS data.</w:t>
            </w:r>
          </w:p>
        </w:tc>
      </w:tr>
    </w:tbl>
    <w:p w:rsidR="00B67669" w:rsidRDefault="00B67669" w:rsidP="00172379">
      <w:pPr>
        <w:pStyle w:val="ListParagraph"/>
        <w:numPr>
          <w:ilvl w:val="0"/>
          <w:numId w:val="2"/>
        </w:numPr>
        <w:spacing w:before="360" w:after="120"/>
        <w:ind w:left="357" w:hanging="357"/>
        <w:contextualSpacing w:val="0"/>
        <w:jc w:val="both"/>
        <w:rPr>
          <w:b/>
        </w:rPr>
      </w:pPr>
      <w:r>
        <w:rPr>
          <w:b/>
        </w:rPr>
        <w:t xml:space="preserve">Challenges anticipated within the next six months: </w:t>
      </w:r>
    </w:p>
    <w:p w:rsidR="008A7042" w:rsidRDefault="008A7042" w:rsidP="008A7042">
      <w:pPr>
        <w:pStyle w:val="ListParagraph"/>
        <w:numPr>
          <w:ilvl w:val="0"/>
          <w:numId w:val="8"/>
        </w:numPr>
        <w:spacing w:before="360" w:after="120"/>
        <w:jc w:val="both"/>
      </w:pPr>
      <w:r>
        <w:t>Complex nature of f</w:t>
      </w:r>
      <w:r w:rsidR="00985BC6" w:rsidRPr="008A7042">
        <w:t xml:space="preserve">unding documentation </w:t>
      </w:r>
      <w:r w:rsidR="00A456BD" w:rsidRPr="00A456BD">
        <w:t xml:space="preserve"> </w:t>
      </w:r>
      <w:r w:rsidR="00A456BD">
        <w:t>Complicated nature of the new checklist template, extensive inclusions and short timelines placed extra workload on staff.</w:t>
      </w:r>
    </w:p>
    <w:p w:rsidR="008A7042" w:rsidRDefault="008A7042" w:rsidP="008A7042">
      <w:pPr>
        <w:pStyle w:val="ListParagraph"/>
        <w:numPr>
          <w:ilvl w:val="0"/>
          <w:numId w:val="8"/>
        </w:numPr>
        <w:spacing w:before="360" w:after="120"/>
        <w:jc w:val="both"/>
      </w:pPr>
      <w:r>
        <w:t>Dashboard does not reflect PR-specific circumstances - s</w:t>
      </w:r>
      <w:r w:rsidRPr="00E355D8">
        <w:t>ome definitions do</w:t>
      </w:r>
      <w:r>
        <w:t>es not reflect the picture.</w:t>
      </w:r>
      <w:r w:rsidR="00A456BD">
        <w:t xml:space="preserve"> Dashboard need to be reviewed to reflect actual position since the spraying is seasonal and what is left after the quarter is considered as a buffer.</w:t>
      </w:r>
    </w:p>
    <w:p w:rsidR="008A7042" w:rsidRDefault="008A7042" w:rsidP="008A7042">
      <w:pPr>
        <w:pStyle w:val="ListParagraph"/>
        <w:numPr>
          <w:ilvl w:val="0"/>
          <w:numId w:val="8"/>
        </w:numPr>
        <w:spacing w:before="360" w:after="120"/>
        <w:jc w:val="both"/>
      </w:pPr>
      <w:r w:rsidRPr="00E355D8">
        <w:t>Macros on the dashboard make the files easily corrupt.  Needs to be reorganized.</w:t>
      </w:r>
    </w:p>
    <w:p w:rsidR="008A7042" w:rsidRDefault="008A7042" w:rsidP="008A7042">
      <w:pPr>
        <w:pStyle w:val="ListParagraph"/>
        <w:numPr>
          <w:ilvl w:val="0"/>
          <w:numId w:val="8"/>
        </w:numPr>
        <w:spacing w:before="360" w:after="120"/>
        <w:jc w:val="both"/>
      </w:pPr>
      <w:r>
        <w:t xml:space="preserve">Resistance issues springing up in Obuasi worsened last year.  </w:t>
      </w:r>
    </w:p>
    <w:p w:rsidR="003D62BE" w:rsidRDefault="00E360DF" w:rsidP="00172379">
      <w:pPr>
        <w:pStyle w:val="ListParagraph"/>
        <w:numPr>
          <w:ilvl w:val="0"/>
          <w:numId w:val="2"/>
        </w:numPr>
        <w:spacing w:before="360" w:after="120"/>
        <w:ind w:left="357" w:hanging="357"/>
        <w:contextualSpacing w:val="0"/>
        <w:jc w:val="both"/>
        <w:rPr>
          <w:b/>
        </w:rPr>
      </w:pPr>
      <w:r>
        <w:rPr>
          <w:b/>
        </w:rPr>
        <w:t>Recommendations:</w:t>
      </w:r>
    </w:p>
    <w:p w:rsidR="00CE3F96" w:rsidRDefault="00985BC6" w:rsidP="008A7042">
      <w:pPr>
        <w:pStyle w:val="ListParagraph"/>
        <w:numPr>
          <w:ilvl w:val="0"/>
          <w:numId w:val="8"/>
        </w:numPr>
        <w:spacing w:before="360" w:after="120"/>
        <w:jc w:val="both"/>
      </w:pPr>
      <w:r w:rsidRPr="00E355D8">
        <w:t>Dashboard should be customized to ensure that issues that do not apply are taken out.</w:t>
      </w:r>
    </w:p>
    <w:p w:rsidR="00F56913" w:rsidRDefault="008A7042" w:rsidP="008A7042">
      <w:pPr>
        <w:pStyle w:val="ListParagraph"/>
        <w:numPr>
          <w:ilvl w:val="0"/>
          <w:numId w:val="8"/>
        </w:numPr>
        <w:spacing w:before="360" w:after="120"/>
        <w:jc w:val="both"/>
      </w:pPr>
      <w:r>
        <w:t xml:space="preserve">Intensity </w:t>
      </w:r>
      <w:r w:rsidR="00F56913">
        <w:t>Anglogold</w:t>
      </w:r>
      <w:r w:rsidR="00CE3F96">
        <w:t xml:space="preserve">-supported </w:t>
      </w:r>
      <w:r w:rsidR="00F56913">
        <w:t>Larviciding</w:t>
      </w:r>
      <w:r>
        <w:t xml:space="preserve"> initiative which is very relevant due to the galamsey pits. </w:t>
      </w:r>
      <w:r w:rsidR="00F56913">
        <w:t xml:space="preserve"> Biological chemical </w:t>
      </w:r>
      <w:r>
        <w:t xml:space="preserve">are </w:t>
      </w:r>
      <w:r w:rsidR="00F56913">
        <w:t>in use</w:t>
      </w:r>
      <w:r>
        <w:t xml:space="preserve"> and therefore pose no environmental challenges.Training ended July currently in the 2</w:t>
      </w:r>
      <w:r w:rsidRPr="00CE3F96">
        <w:rPr>
          <w:vertAlign w:val="superscript"/>
        </w:rPr>
        <w:t>nd</w:t>
      </w:r>
      <w:r>
        <w:t xml:space="preserve"> week.   </w:t>
      </w:r>
    </w:p>
    <w:p w:rsidR="00043AFF" w:rsidRPr="003A2966" w:rsidRDefault="00F627E7" w:rsidP="00172379">
      <w:pPr>
        <w:pStyle w:val="ListParagraph"/>
        <w:numPr>
          <w:ilvl w:val="0"/>
          <w:numId w:val="1"/>
        </w:numPr>
        <w:spacing w:before="240"/>
        <w:ind w:left="357" w:hanging="357"/>
        <w:contextualSpacing w:val="0"/>
        <w:jc w:val="both"/>
        <w:rPr>
          <w:b/>
          <w:sz w:val="24"/>
          <w:szCs w:val="24"/>
        </w:rPr>
      </w:pPr>
      <w:r w:rsidRPr="003A2966">
        <w:rPr>
          <w:b/>
          <w:sz w:val="24"/>
          <w:szCs w:val="24"/>
        </w:rPr>
        <w:t>NMCP</w:t>
      </w:r>
    </w:p>
    <w:p w:rsidR="009215F2" w:rsidRDefault="004A0128">
      <w:pPr>
        <w:pStyle w:val="ListParagraph"/>
        <w:spacing w:before="240"/>
        <w:ind w:left="357"/>
        <w:contextualSpacing w:val="0"/>
        <w:jc w:val="both"/>
        <w:rPr>
          <w:b/>
          <w:sz w:val="24"/>
          <w:szCs w:val="24"/>
        </w:rPr>
      </w:pPr>
      <w:r>
        <w:rPr>
          <w:b/>
          <w:sz w:val="24"/>
          <w:szCs w:val="24"/>
        </w:rPr>
        <w:t xml:space="preserve">News from the Field: </w:t>
      </w:r>
    </w:p>
    <w:p w:rsidR="0004237F" w:rsidRDefault="0004237F" w:rsidP="00172379">
      <w:pPr>
        <w:pStyle w:val="ListParagraph"/>
        <w:numPr>
          <w:ilvl w:val="0"/>
          <w:numId w:val="4"/>
        </w:numPr>
        <w:spacing w:after="120"/>
        <w:contextualSpacing w:val="0"/>
        <w:jc w:val="both"/>
        <w:rPr>
          <w:b/>
        </w:rPr>
      </w:pPr>
      <w:r>
        <w:rPr>
          <w:b/>
        </w:rPr>
        <w:t>Follow up:</w:t>
      </w:r>
    </w:p>
    <w:p w:rsidR="00C139AD" w:rsidRPr="005D279B" w:rsidRDefault="00C139AD" w:rsidP="005D279B">
      <w:pPr>
        <w:spacing w:after="0" w:line="240" w:lineRule="auto"/>
        <w:rPr>
          <w:color w:val="000000" w:themeColor="text1"/>
        </w:rPr>
      </w:pPr>
      <w:r w:rsidRPr="005D279B">
        <w:rPr>
          <w:b/>
          <w:color w:val="000000" w:themeColor="text1"/>
        </w:rPr>
        <w:t>Overview NGO results, outcomes from assessment E/03:</w:t>
      </w:r>
    </w:p>
    <w:p w:rsidR="005D279B" w:rsidRDefault="00C139AD" w:rsidP="00172379">
      <w:pPr>
        <w:pStyle w:val="ListParagraph"/>
        <w:numPr>
          <w:ilvl w:val="0"/>
          <w:numId w:val="5"/>
        </w:numPr>
        <w:spacing w:after="0" w:line="240" w:lineRule="auto"/>
        <w:contextualSpacing w:val="0"/>
        <w:rPr>
          <w:color w:val="000000" w:themeColor="text1"/>
        </w:rPr>
      </w:pPr>
      <w:r w:rsidRPr="00C139AD">
        <w:rPr>
          <w:color w:val="000000" w:themeColor="text1"/>
        </w:rPr>
        <w:t xml:space="preserve">NGO assessment finished.  Funds to be released by close of this week.  Memos completed contracts signed. (Now to December) 33 NGOs to be funded. </w:t>
      </w:r>
    </w:p>
    <w:p w:rsidR="005D279B" w:rsidRDefault="005D279B" w:rsidP="00366F1B">
      <w:pPr>
        <w:pStyle w:val="ListParagraph"/>
        <w:numPr>
          <w:ilvl w:val="0"/>
          <w:numId w:val="5"/>
        </w:numPr>
        <w:spacing w:after="0" w:line="240" w:lineRule="auto"/>
        <w:ind w:left="714" w:hanging="357"/>
        <w:contextualSpacing w:val="0"/>
        <w:rPr>
          <w:color w:val="000000" w:themeColor="text1"/>
        </w:rPr>
      </w:pPr>
      <w:r>
        <w:rPr>
          <w:color w:val="000000" w:themeColor="text1"/>
        </w:rPr>
        <w:t xml:space="preserve">Funds </w:t>
      </w:r>
      <w:r w:rsidR="00C139AD" w:rsidRPr="00C139AD">
        <w:rPr>
          <w:color w:val="000000" w:themeColor="text1"/>
        </w:rPr>
        <w:t>for each NGO increased</w:t>
      </w:r>
      <w:r>
        <w:rPr>
          <w:color w:val="000000" w:themeColor="text1"/>
        </w:rPr>
        <w:t xml:space="preserve"> to </w:t>
      </w:r>
      <w:r w:rsidRPr="00C139AD">
        <w:rPr>
          <w:color w:val="000000" w:themeColor="text1"/>
        </w:rPr>
        <w:t>GH</w:t>
      </w:r>
      <w:r>
        <w:rPr>
          <w:color w:val="000000" w:themeColor="text1"/>
        </w:rPr>
        <w:t>C</w:t>
      </w:r>
      <w:r w:rsidRPr="00C139AD">
        <w:rPr>
          <w:color w:val="000000" w:themeColor="text1"/>
        </w:rPr>
        <w:t>25</w:t>
      </w:r>
      <w:r>
        <w:rPr>
          <w:color w:val="000000" w:themeColor="text1"/>
        </w:rPr>
        <w:t>,</w:t>
      </w:r>
      <w:r w:rsidRPr="00C139AD">
        <w:rPr>
          <w:color w:val="000000" w:themeColor="text1"/>
        </w:rPr>
        <w:t>200.00</w:t>
      </w:r>
      <w:r>
        <w:rPr>
          <w:color w:val="000000" w:themeColor="text1"/>
        </w:rPr>
        <w:t xml:space="preserve"> up to December 2017</w:t>
      </w:r>
      <w:r w:rsidRPr="00C139AD">
        <w:rPr>
          <w:color w:val="000000" w:themeColor="text1"/>
        </w:rPr>
        <w:t xml:space="preserve">.  </w:t>
      </w:r>
    </w:p>
    <w:p w:rsidR="005D279B" w:rsidRDefault="005D279B" w:rsidP="005D279B">
      <w:pPr>
        <w:pStyle w:val="ListParagraph"/>
        <w:numPr>
          <w:ilvl w:val="0"/>
          <w:numId w:val="5"/>
        </w:numPr>
        <w:spacing w:after="0" w:line="240" w:lineRule="auto"/>
        <w:contextualSpacing w:val="0"/>
        <w:rPr>
          <w:color w:val="000000" w:themeColor="text1"/>
        </w:rPr>
      </w:pPr>
      <w:r>
        <w:rPr>
          <w:color w:val="000000" w:themeColor="text1"/>
        </w:rPr>
        <w:t xml:space="preserve">No increase in districts but expansion in communities </w:t>
      </w:r>
    </w:p>
    <w:p w:rsidR="005D279B" w:rsidRDefault="00C139AD" w:rsidP="005D279B">
      <w:pPr>
        <w:pStyle w:val="ListParagraph"/>
        <w:numPr>
          <w:ilvl w:val="0"/>
          <w:numId w:val="5"/>
        </w:numPr>
        <w:spacing w:after="0" w:line="240" w:lineRule="auto"/>
        <w:contextualSpacing w:val="0"/>
        <w:rPr>
          <w:color w:val="000000" w:themeColor="text1"/>
        </w:rPr>
      </w:pPr>
      <w:r w:rsidRPr="005D279B">
        <w:rPr>
          <w:color w:val="000000" w:themeColor="text1"/>
        </w:rPr>
        <w:t>Anticipated output – more communities to be visited. More IEC activities.  Numbers reached must increase.</w:t>
      </w:r>
    </w:p>
    <w:p w:rsidR="00C139AD" w:rsidRPr="00366F1B" w:rsidRDefault="00C139AD" w:rsidP="00366F1B">
      <w:pPr>
        <w:pStyle w:val="ListParagraph"/>
        <w:numPr>
          <w:ilvl w:val="0"/>
          <w:numId w:val="5"/>
        </w:numPr>
        <w:spacing w:after="0" w:line="240" w:lineRule="auto"/>
        <w:contextualSpacing w:val="0"/>
        <w:rPr>
          <w:color w:val="000000" w:themeColor="text1"/>
        </w:rPr>
      </w:pPr>
      <w:r w:rsidRPr="005D279B">
        <w:rPr>
          <w:color w:val="000000" w:themeColor="text1"/>
        </w:rPr>
        <w:t xml:space="preserve">Financial </w:t>
      </w:r>
      <w:r w:rsidR="00366F1B">
        <w:rPr>
          <w:color w:val="000000" w:themeColor="text1"/>
        </w:rPr>
        <w:t xml:space="preserve">and programmatic </w:t>
      </w:r>
      <w:r w:rsidRPr="005D279B">
        <w:rPr>
          <w:color w:val="000000" w:themeColor="text1"/>
        </w:rPr>
        <w:t xml:space="preserve">reporting by NGOs </w:t>
      </w:r>
      <w:r w:rsidR="00366F1B">
        <w:rPr>
          <w:color w:val="000000" w:themeColor="text1"/>
        </w:rPr>
        <w:t>has improved</w:t>
      </w:r>
      <w:r w:rsidRPr="005D279B">
        <w:rPr>
          <w:color w:val="000000" w:themeColor="text1"/>
        </w:rPr>
        <w:t xml:space="preserve">.  </w:t>
      </w:r>
    </w:p>
    <w:p w:rsidR="005D279B" w:rsidRPr="005D279B" w:rsidRDefault="00C139AD" w:rsidP="00172379">
      <w:pPr>
        <w:pStyle w:val="ListParagraph"/>
        <w:numPr>
          <w:ilvl w:val="0"/>
          <w:numId w:val="5"/>
        </w:numPr>
        <w:spacing w:after="0" w:line="240" w:lineRule="auto"/>
        <w:contextualSpacing w:val="0"/>
        <w:rPr>
          <w:b/>
          <w:color w:val="000000" w:themeColor="text1"/>
        </w:rPr>
      </w:pPr>
      <w:r>
        <w:rPr>
          <w:b/>
          <w:color w:val="000000" w:themeColor="text1"/>
        </w:rPr>
        <w:t>Uncovered Districts –</w:t>
      </w:r>
      <w:r w:rsidR="005D279B">
        <w:rPr>
          <w:color w:val="000000" w:themeColor="text1"/>
        </w:rPr>
        <w:t xml:space="preserve"> the issue will be revisited during the next phase of funding. </w:t>
      </w:r>
    </w:p>
    <w:p w:rsidR="00C139AD" w:rsidRDefault="004450CE" w:rsidP="00172379">
      <w:pPr>
        <w:pStyle w:val="ListParagraph"/>
        <w:numPr>
          <w:ilvl w:val="0"/>
          <w:numId w:val="5"/>
        </w:numPr>
        <w:spacing w:after="0" w:line="240" w:lineRule="auto"/>
        <w:contextualSpacing w:val="0"/>
        <w:rPr>
          <w:b/>
          <w:color w:val="000000" w:themeColor="text1"/>
        </w:rPr>
      </w:pPr>
      <w:r>
        <w:rPr>
          <w:color w:val="000000" w:themeColor="text1"/>
        </w:rPr>
        <w:t>F</w:t>
      </w:r>
      <w:r w:rsidR="005D279B">
        <w:rPr>
          <w:color w:val="000000" w:themeColor="text1"/>
        </w:rPr>
        <w:t xml:space="preserve">unding </w:t>
      </w:r>
      <w:r w:rsidR="00C139AD" w:rsidRPr="00C139AD">
        <w:rPr>
          <w:color w:val="000000" w:themeColor="text1"/>
        </w:rPr>
        <w:t xml:space="preserve">NGOs </w:t>
      </w:r>
      <w:r w:rsidR="00491380">
        <w:rPr>
          <w:color w:val="000000" w:themeColor="text1"/>
        </w:rPr>
        <w:t xml:space="preserve">under </w:t>
      </w:r>
      <w:r w:rsidR="00C139AD" w:rsidRPr="00C139AD">
        <w:rPr>
          <w:color w:val="000000" w:themeColor="text1"/>
        </w:rPr>
        <w:t xml:space="preserve">one umbrella(CSO) </w:t>
      </w:r>
      <w:r>
        <w:rPr>
          <w:color w:val="000000" w:themeColor="text1"/>
        </w:rPr>
        <w:t>worth considering</w:t>
      </w:r>
      <w:r w:rsidR="00C139AD" w:rsidRPr="00C139AD">
        <w:rPr>
          <w:color w:val="000000" w:themeColor="text1"/>
        </w:rPr>
        <w:t>.</w:t>
      </w:r>
    </w:p>
    <w:p w:rsidR="00C139AD" w:rsidRDefault="00C139AD" w:rsidP="00C139AD">
      <w:pPr>
        <w:pStyle w:val="ListParagraph"/>
        <w:spacing w:after="0" w:line="240" w:lineRule="auto"/>
        <w:ind w:left="717"/>
        <w:contextualSpacing w:val="0"/>
        <w:rPr>
          <w:b/>
          <w:color w:val="000000" w:themeColor="text1"/>
        </w:rPr>
      </w:pPr>
    </w:p>
    <w:p w:rsidR="00202824" w:rsidRDefault="00202824" w:rsidP="00172379">
      <w:pPr>
        <w:pStyle w:val="ListParagraph"/>
        <w:numPr>
          <w:ilvl w:val="0"/>
          <w:numId w:val="5"/>
        </w:numPr>
        <w:spacing w:after="0" w:line="240" w:lineRule="auto"/>
        <w:contextualSpacing w:val="0"/>
        <w:rPr>
          <w:b/>
          <w:color w:val="000000" w:themeColor="text1"/>
        </w:rPr>
      </w:pPr>
      <w:r w:rsidRPr="00202824">
        <w:rPr>
          <w:b/>
          <w:color w:val="000000" w:themeColor="text1"/>
        </w:rPr>
        <w:lastRenderedPageBreak/>
        <w:t>Is</w:t>
      </w:r>
      <w:r w:rsidR="005D279B">
        <w:rPr>
          <w:b/>
          <w:color w:val="000000" w:themeColor="text1"/>
        </w:rPr>
        <w:t>sues related to stock situation</w:t>
      </w:r>
      <w:r w:rsidRPr="00202824">
        <w:rPr>
          <w:b/>
          <w:color w:val="000000" w:themeColor="text1"/>
        </w:rPr>
        <w:t xml:space="preserve">: </w:t>
      </w:r>
      <w:r w:rsidR="005D279B">
        <w:rPr>
          <w:b/>
          <w:color w:val="000000" w:themeColor="text1"/>
        </w:rPr>
        <w:t xml:space="preserve"> Mr. Frimpong (Via Phone)</w:t>
      </w:r>
    </w:p>
    <w:p w:rsidR="00491380" w:rsidRDefault="00C139AD" w:rsidP="005D279B">
      <w:pPr>
        <w:pStyle w:val="ListParagraph"/>
        <w:numPr>
          <w:ilvl w:val="1"/>
          <w:numId w:val="5"/>
        </w:numPr>
        <w:rPr>
          <w:color w:val="000000" w:themeColor="text1"/>
        </w:rPr>
      </w:pPr>
      <w:r w:rsidRPr="00261389">
        <w:rPr>
          <w:color w:val="000000" w:themeColor="text1"/>
        </w:rPr>
        <w:t xml:space="preserve">Stock from USAID which has OCT 17 as expiry dates –  permission </w:t>
      </w:r>
      <w:r w:rsidR="00491380">
        <w:rPr>
          <w:color w:val="000000" w:themeColor="text1"/>
        </w:rPr>
        <w:t xml:space="preserve">sought </w:t>
      </w:r>
      <w:r w:rsidRPr="00261389">
        <w:rPr>
          <w:color w:val="000000" w:themeColor="text1"/>
        </w:rPr>
        <w:t xml:space="preserve">to distribute to private sector.  </w:t>
      </w:r>
      <w:r w:rsidR="00E819F1">
        <w:rPr>
          <w:color w:val="000000" w:themeColor="text1"/>
        </w:rPr>
        <w:t xml:space="preserve">  </w:t>
      </w:r>
    </w:p>
    <w:p w:rsidR="00491380" w:rsidRDefault="00491380" w:rsidP="005D279B">
      <w:pPr>
        <w:pStyle w:val="ListParagraph"/>
        <w:numPr>
          <w:ilvl w:val="1"/>
          <w:numId w:val="5"/>
        </w:numPr>
        <w:rPr>
          <w:color w:val="000000" w:themeColor="text1"/>
        </w:rPr>
      </w:pPr>
      <w:r w:rsidRPr="00491380">
        <w:rPr>
          <w:color w:val="000000" w:themeColor="text1"/>
        </w:rPr>
        <w:t xml:space="preserve">USAID has agreed, </w:t>
      </w:r>
      <w:r>
        <w:rPr>
          <w:color w:val="000000" w:themeColor="text1"/>
        </w:rPr>
        <w:t>p</w:t>
      </w:r>
      <w:r w:rsidRPr="00491380">
        <w:rPr>
          <w:color w:val="000000" w:themeColor="text1"/>
        </w:rPr>
        <w:t>rivate medical p</w:t>
      </w:r>
      <w:r w:rsidR="00C139AD" w:rsidRPr="00491380">
        <w:rPr>
          <w:color w:val="000000" w:themeColor="text1"/>
        </w:rPr>
        <w:t>racti</w:t>
      </w:r>
      <w:r w:rsidRPr="00491380">
        <w:rPr>
          <w:color w:val="000000" w:themeColor="text1"/>
        </w:rPr>
        <w:t>tio</w:t>
      </w:r>
      <w:r w:rsidR="00C139AD" w:rsidRPr="00491380">
        <w:rPr>
          <w:color w:val="000000" w:themeColor="text1"/>
        </w:rPr>
        <w:t>ners have agreed.  Waiting to get their list of members and quantity requested to be sent to GHS warehouse where the commodities are sou</w:t>
      </w:r>
      <w:r w:rsidR="005D279B" w:rsidRPr="00491380">
        <w:rPr>
          <w:color w:val="000000" w:themeColor="text1"/>
        </w:rPr>
        <w:t xml:space="preserve">ght.   </w:t>
      </w:r>
    </w:p>
    <w:p w:rsidR="00491380" w:rsidRDefault="005D279B" w:rsidP="00491380">
      <w:pPr>
        <w:pStyle w:val="ListParagraph"/>
        <w:numPr>
          <w:ilvl w:val="1"/>
          <w:numId w:val="5"/>
        </w:numPr>
        <w:rPr>
          <w:color w:val="000000" w:themeColor="text1"/>
        </w:rPr>
      </w:pPr>
      <w:r w:rsidRPr="00491380">
        <w:rPr>
          <w:color w:val="000000" w:themeColor="text1"/>
        </w:rPr>
        <w:t>Working on requisition from the re</w:t>
      </w:r>
      <w:r w:rsidR="00C139AD" w:rsidRPr="00491380">
        <w:rPr>
          <w:color w:val="000000" w:themeColor="text1"/>
        </w:rPr>
        <w:t>gions for Sept</w:t>
      </w:r>
      <w:r w:rsidR="00491380">
        <w:rPr>
          <w:color w:val="000000" w:themeColor="text1"/>
        </w:rPr>
        <w:t>ember</w:t>
      </w:r>
      <w:r w:rsidR="00C139AD" w:rsidRPr="00491380">
        <w:rPr>
          <w:color w:val="000000" w:themeColor="text1"/>
        </w:rPr>
        <w:t xml:space="preserve"> distribution</w:t>
      </w:r>
      <w:r w:rsidRPr="00491380">
        <w:rPr>
          <w:color w:val="000000" w:themeColor="text1"/>
        </w:rPr>
        <w:t>. Stocks will be taken</w:t>
      </w:r>
      <w:r w:rsidR="00C139AD" w:rsidRPr="00491380">
        <w:rPr>
          <w:color w:val="000000" w:themeColor="text1"/>
        </w:rPr>
        <w:t xml:space="preserve"> from all regions to supply.</w:t>
      </w:r>
      <w:r w:rsidR="00261389" w:rsidRPr="00491380">
        <w:rPr>
          <w:color w:val="000000" w:themeColor="text1"/>
        </w:rPr>
        <w:t xml:space="preserve"> Regional requisitions based on established systems and projections.</w:t>
      </w:r>
    </w:p>
    <w:p w:rsidR="001A2F3A" w:rsidRDefault="00261389" w:rsidP="001A2F3A">
      <w:pPr>
        <w:pStyle w:val="ListParagraph"/>
        <w:numPr>
          <w:ilvl w:val="1"/>
          <w:numId w:val="5"/>
        </w:numPr>
        <w:rPr>
          <w:color w:val="000000" w:themeColor="text1"/>
        </w:rPr>
      </w:pPr>
      <w:r w:rsidRPr="00491380">
        <w:rPr>
          <w:color w:val="000000" w:themeColor="text1"/>
        </w:rPr>
        <w:t>AA and AL more than one year stock.  Based on June ending stock report.  Included products.</w:t>
      </w:r>
      <w:r w:rsidR="00523DD7">
        <w:rPr>
          <w:color w:val="000000" w:themeColor="text1"/>
        </w:rPr>
        <w:t xml:space="preserve"> As at the time of holding this meeting, the situation was expected to have changed as considerable distribution has taken place.  </w:t>
      </w:r>
    </w:p>
    <w:p w:rsidR="001A2F3A" w:rsidRPr="001A2F3A" w:rsidRDefault="00261389" w:rsidP="001A2F3A">
      <w:pPr>
        <w:pStyle w:val="ListParagraph"/>
        <w:numPr>
          <w:ilvl w:val="1"/>
          <w:numId w:val="5"/>
        </w:numPr>
        <w:rPr>
          <w:color w:val="000000" w:themeColor="text1"/>
        </w:rPr>
      </w:pPr>
      <w:r w:rsidRPr="001A2F3A">
        <w:rPr>
          <w:color w:val="000000" w:themeColor="text1"/>
        </w:rPr>
        <w:t>Programme indicators are more than 100% and yet you</w:t>
      </w:r>
      <w:r w:rsidR="001A2F3A">
        <w:rPr>
          <w:color w:val="000000" w:themeColor="text1"/>
        </w:rPr>
        <w:t xml:space="preserve"> a</w:t>
      </w:r>
      <w:r w:rsidRPr="001A2F3A">
        <w:rPr>
          <w:color w:val="000000" w:themeColor="text1"/>
        </w:rPr>
        <w:t>re overstocked. Did we have problem in setting targets</w:t>
      </w:r>
      <w:r w:rsidR="001A2F3A">
        <w:rPr>
          <w:color w:val="000000" w:themeColor="text1"/>
        </w:rPr>
        <w:t>?</w:t>
      </w:r>
      <w:r w:rsidR="001A2F3A" w:rsidRPr="001A2F3A">
        <w:rPr>
          <w:color w:val="000000" w:themeColor="text1"/>
        </w:rPr>
        <w:t>NMCP</w:t>
      </w:r>
      <w:r w:rsidR="00491380" w:rsidRPr="001A2F3A">
        <w:rPr>
          <w:color w:val="000000" w:themeColor="text1"/>
        </w:rPr>
        <w:t xml:space="preserve">: - </w:t>
      </w:r>
      <w:r w:rsidRPr="001A2F3A">
        <w:rPr>
          <w:color w:val="000000" w:themeColor="text1"/>
        </w:rPr>
        <w:t>No. it seems the preventive methods have reduced demand.  Number of malaria cases reduced due to interventions.  Meanwhile stocks are placed way ahead of time.</w:t>
      </w:r>
    </w:p>
    <w:p w:rsidR="001A2F3A" w:rsidRDefault="001A2F3A" w:rsidP="001A2F3A">
      <w:pPr>
        <w:pStyle w:val="ListParagraph"/>
        <w:numPr>
          <w:ilvl w:val="1"/>
          <w:numId w:val="5"/>
        </w:numPr>
        <w:rPr>
          <w:color w:val="000000" w:themeColor="text1"/>
        </w:rPr>
      </w:pPr>
      <w:r>
        <w:rPr>
          <w:color w:val="000000" w:themeColor="text1"/>
        </w:rPr>
        <w:t>Is it</w:t>
      </w:r>
      <w:r w:rsidR="00A90691" w:rsidRPr="001A2F3A">
        <w:rPr>
          <w:color w:val="000000" w:themeColor="text1"/>
        </w:rPr>
        <w:t xml:space="preserve"> necessary to look at our quantification again</w:t>
      </w:r>
      <w:r>
        <w:rPr>
          <w:color w:val="000000" w:themeColor="text1"/>
        </w:rPr>
        <w:t>?NMCP</w:t>
      </w:r>
      <w:r w:rsidR="00491380" w:rsidRPr="001A2F3A">
        <w:rPr>
          <w:color w:val="000000" w:themeColor="text1"/>
        </w:rPr>
        <w:t xml:space="preserve">: </w:t>
      </w:r>
      <w:r w:rsidR="00A90691" w:rsidRPr="001A2F3A">
        <w:rPr>
          <w:color w:val="000000" w:themeColor="text1"/>
        </w:rPr>
        <w:t xml:space="preserve">Yes.  </w:t>
      </w:r>
      <w:r w:rsidR="00491380" w:rsidRPr="001A2F3A">
        <w:rPr>
          <w:color w:val="000000" w:themeColor="text1"/>
        </w:rPr>
        <w:t xml:space="preserve"> The situation could also be attributed to some facilit</w:t>
      </w:r>
      <w:r>
        <w:rPr>
          <w:color w:val="000000" w:themeColor="text1"/>
        </w:rPr>
        <w:t xml:space="preserve">y managers who </w:t>
      </w:r>
      <w:r w:rsidR="00491380" w:rsidRPr="001A2F3A">
        <w:rPr>
          <w:color w:val="000000" w:themeColor="text1"/>
        </w:rPr>
        <w:t xml:space="preserve">choose to buy from the open market rather than requesting for GF commodities.  </w:t>
      </w:r>
      <w:r>
        <w:rPr>
          <w:color w:val="000000" w:themeColor="text1"/>
        </w:rPr>
        <w:t>R</w:t>
      </w:r>
      <w:r w:rsidR="00491380" w:rsidRPr="001A2F3A">
        <w:rPr>
          <w:color w:val="000000" w:themeColor="text1"/>
        </w:rPr>
        <w:t>easons attributed to this practice</w:t>
      </w:r>
      <w:r>
        <w:rPr>
          <w:color w:val="000000" w:themeColor="text1"/>
        </w:rPr>
        <w:t xml:space="preserve"> include </w:t>
      </w:r>
      <w:r w:rsidR="00491380" w:rsidRPr="001A2F3A">
        <w:rPr>
          <w:color w:val="000000" w:themeColor="text1"/>
        </w:rPr>
        <w:t>possible self-interes</w:t>
      </w:r>
      <w:r w:rsidR="000567E9">
        <w:rPr>
          <w:color w:val="000000" w:themeColor="text1"/>
        </w:rPr>
        <w:t xml:space="preserve">t and also more importantly price mark-up imposed </w:t>
      </w:r>
      <w:r w:rsidR="00491380" w:rsidRPr="001A2F3A">
        <w:rPr>
          <w:color w:val="000000" w:themeColor="text1"/>
        </w:rPr>
        <w:t>by government</w:t>
      </w:r>
      <w:r w:rsidR="000567E9">
        <w:rPr>
          <w:color w:val="000000" w:themeColor="text1"/>
        </w:rPr>
        <w:t xml:space="preserve"> on GF commodities</w:t>
      </w:r>
      <w:r w:rsidR="00491380" w:rsidRPr="001A2F3A">
        <w:rPr>
          <w:color w:val="000000" w:themeColor="text1"/>
        </w:rPr>
        <w:t>.</w:t>
      </w:r>
    </w:p>
    <w:p w:rsidR="001A2F3A" w:rsidRDefault="00A90691" w:rsidP="001A2F3A">
      <w:pPr>
        <w:pStyle w:val="ListParagraph"/>
        <w:numPr>
          <w:ilvl w:val="1"/>
          <w:numId w:val="5"/>
        </w:numPr>
        <w:rPr>
          <w:color w:val="000000" w:themeColor="text1"/>
        </w:rPr>
      </w:pPr>
      <w:r w:rsidRPr="001A2F3A">
        <w:rPr>
          <w:color w:val="000000" w:themeColor="text1"/>
        </w:rPr>
        <w:t xml:space="preserve">Is there a reason why we’re not tracking the Test Kits?   They are not on the Dashboard.  </w:t>
      </w:r>
      <w:r w:rsidR="001A2F3A">
        <w:rPr>
          <w:color w:val="000000" w:themeColor="text1"/>
        </w:rPr>
        <w:t>NMCP:</w:t>
      </w:r>
      <w:r w:rsidRPr="001A2F3A">
        <w:rPr>
          <w:color w:val="000000" w:themeColor="text1"/>
        </w:rPr>
        <w:t xml:space="preserve"> We were asked for specific drugs.  </w:t>
      </w:r>
    </w:p>
    <w:p w:rsidR="00776342" w:rsidRDefault="001A2F3A" w:rsidP="00776342">
      <w:pPr>
        <w:pStyle w:val="ListParagraph"/>
        <w:numPr>
          <w:ilvl w:val="1"/>
          <w:numId w:val="5"/>
        </w:numPr>
        <w:rPr>
          <w:color w:val="000000" w:themeColor="text1"/>
        </w:rPr>
      </w:pPr>
      <w:r>
        <w:rPr>
          <w:color w:val="000000" w:themeColor="text1"/>
        </w:rPr>
        <w:t xml:space="preserve">OC requested that RDT and LLINs should appear in the Dashboard.  </w:t>
      </w:r>
    </w:p>
    <w:p w:rsidR="00776342" w:rsidRPr="0075598D" w:rsidRDefault="00737161" w:rsidP="00776342">
      <w:pPr>
        <w:pStyle w:val="ListParagraph"/>
        <w:numPr>
          <w:ilvl w:val="1"/>
          <w:numId w:val="5"/>
        </w:numPr>
        <w:rPr>
          <w:color w:val="000000" w:themeColor="text1"/>
        </w:rPr>
      </w:pPr>
      <w:r w:rsidRPr="0075598D">
        <w:rPr>
          <w:color w:val="000000" w:themeColor="text1"/>
        </w:rPr>
        <w:t>2nd tranche SPs:</w:t>
      </w:r>
      <w:r w:rsidR="00776342" w:rsidRPr="0075598D">
        <w:rPr>
          <w:color w:val="000000" w:themeColor="text1"/>
        </w:rPr>
        <w:t>NMCP:-</w:t>
      </w:r>
      <w:r w:rsidR="004C77C0" w:rsidRPr="0075598D">
        <w:rPr>
          <w:color w:val="000000" w:themeColor="text1"/>
        </w:rPr>
        <w:t xml:space="preserve">Request made to the Ministry but not sure of when it will be procured or delivered. </w:t>
      </w:r>
      <w:r w:rsidR="00C43FB5">
        <w:rPr>
          <w:color w:val="000000" w:themeColor="text1"/>
        </w:rPr>
        <w:t xml:space="preserve"> That was not mentioned.</w:t>
      </w:r>
      <w:r w:rsidR="00523DD7">
        <w:rPr>
          <w:color w:val="000000" w:themeColor="text1"/>
        </w:rPr>
        <w:t xml:space="preserve"> </w:t>
      </w:r>
    </w:p>
    <w:p w:rsidR="005E6ACB" w:rsidRDefault="00C62ECF" w:rsidP="00296CDA">
      <w:pPr>
        <w:pStyle w:val="ListParagraph"/>
        <w:numPr>
          <w:ilvl w:val="1"/>
          <w:numId w:val="5"/>
        </w:numPr>
        <w:rPr>
          <w:color w:val="000000" w:themeColor="text1"/>
        </w:rPr>
      </w:pPr>
      <w:r w:rsidRPr="005E6ACB">
        <w:rPr>
          <w:b/>
          <w:color w:val="000000" w:themeColor="text1"/>
        </w:rPr>
        <w:t>Prison Infirmary</w:t>
      </w:r>
      <w:r w:rsidR="00776342" w:rsidRPr="005E6ACB">
        <w:rPr>
          <w:b/>
          <w:color w:val="000000" w:themeColor="text1"/>
        </w:rPr>
        <w:t xml:space="preserve"> Commodities Supply</w:t>
      </w:r>
      <w:r w:rsidR="004C77C0" w:rsidRPr="0075598D">
        <w:rPr>
          <w:color w:val="000000" w:themeColor="text1"/>
        </w:rPr>
        <w:t>:</w:t>
      </w:r>
      <w:r w:rsidR="004C77C0" w:rsidRPr="00776342">
        <w:rPr>
          <w:b/>
          <w:color w:val="000000" w:themeColor="text1"/>
        </w:rPr>
        <w:t xml:space="preserve"> - </w:t>
      </w:r>
      <w:r w:rsidR="00776342" w:rsidRPr="00776342">
        <w:rPr>
          <w:color w:val="000000" w:themeColor="text1"/>
        </w:rPr>
        <w:t>Mr.</w:t>
      </w:r>
      <w:r w:rsidR="004C77C0" w:rsidRPr="00776342">
        <w:rPr>
          <w:color w:val="000000" w:themeColor="text1"/>
        </w:rPr>
        <w:t>Frimpong</w:t>
      </w:r>
      <w:r w:rsidR="00776342">
        <w:rPr>
          <w:color w:val="000000" w:themeColor="text1"/>
        </w:rPr>
        <w:t xml:space="preserve"> (Via phone)</w:t>
      </w:r>
      <w:r w:rsidR="004C77C0" w:rsidRPr="00776342">
        <w:rPr>
          <w:color w:val="000000" w:themeColor="text1"/>
        </w:rPr>
        <w:t xml:space="preserve"> – yet to find out</w:t>
      </w:r>
      <w:r w:rsidR="00776342">
        <w:rPr>
          <w:color w:val="000000" w:themeColor="text1"/>
        </w:rPr>
        <w:t xml:space="preserve"> current status from Prisons</w:t>
      </w:r>
      <w:r w:rsidR="004C77C0" w:rsidRPr="00776342">
        <w:rPr>
          <w:color w:val="000000" w:themeColor="text1"/>
        </w:rPr>
        <w:t xml:space="preserve">.  </w:t>
      </w:r>
      <w:r w:rsidR="00776342" w:rsidRPr="00776342">
        <w:rPr>
          <w:color w:val="000000" w:themeColor="text1"/>
        </w:rPr>
        <w:t>No request from Prisons</w:t>
      </w:r>
      <w:r w:rsidR="00776342">
        <w:rPr>
          <w:color w:val="000000" w:themeColor="text1"/>
        </w:rPr>
        <w:t>. Current s</w:t>
      </w:r>
      <w:r w:rsidR="004C77C0" w:rsidRPr="00776342">
        <w:rPr>
          <w:color w:val="000000" w:themeColor="text1"/>
        </w:rPr>
        <w:t xml:space="preserve">upply chain not clear. </w:t>
      </w:r>
      <w:r w:rsidR="00776342">
        <w:rPr>
          <w:color w:val="000000" w:themeColor="text1"/>
        </w:rPr>
        <w:t xml:space="preserve"> No documented mechanisms in place for distribution in prisons.</w:t>
      </w:r>
      <w:r w:rsidR="003A2966">
        <w:rPr>
          <w:color w:val="000000" w:themeColor="text1"/>
        </w:rPr>
        <w:t xml:space="preserve"> </w:t>
      </w:r>
      <w:r w:rsidR="00776342" w:rsidRPr="00776342">
        <w:rPr>
          <w:color w:val="000000" w:themeColor="text1"/>
        </w:rPr>
        <w:t>District Hospital should be responsible for Prisons.</w:t>
      </w:r>
    </w:p>
    <w:p w:rsidR="00C62ECF" w:rsidRDefault="00C62ECF" w:rsidP="005E6ACB">
      <w:pPr>
        <w:pStyle w:val="ListParagraph"/>
        <w:ind w:left="1440"/>
        <w:rPr>
          <w:rFonts w:eastAsia="Times New Roman" w:cs="Times New Roman"/>
          <w:b/>
          <w:bCs/>
          <w:i/>
          <w:szCs w:val="24"/>
        </w:rPr>
      </w:pPr>
      <w:r w:rsidRPr="00296CDA">
        <w:rPr>
          <w:i/>
        </w:rPr>
        <w:t xml:space="preserve">(Excepts from email message received from Anne-Marie Godwyll at 5:40pm on 24/8/17)  </w:t>
      </w:r>
      <w:r w:rsidRPr="00296CDA">
        <w:rPr>
          <w:rFonts w:eastAsia="Times New Roman" w:cs="Times New Roman"/>
          <w:b/>
          <w:bCs/>
          <w:i/>
          <w:szCs w:val="24"/>
        </w:rPr>
        <w:t xml:space="preserve"> “</w:t>
      </w:r>
      <w:r w:rsidRPr="00296CDA">
        <w:rPr>
          <w:i/>
        </w:rPr>
        <w:t xml:space="preserve">From the information gathered by the Ghana Prisons HIV Programme Manager, most of the Prisons solicit for their own malaria commodities and refer sick clients for further treatment at the government health facilities”. </w:t>
      </w:r>
    </w:p>
    <w:p w:rsidR="00B05674" w:rsidRPr="00296CDA" w:rsidRDefault="00B05674" w:rsidP="005E6ACB">
      <w:pPr>
        <w:pStyle w:val="ListParagraph"/>
        <w:ind w:left="1440"/>
        <w:rPr>
          <w:color w:val="000000" w:themeColor="text1"/>
        </w:rPr>
      </w:pPr>
    </w:p>
    <w:p w:rsidR="00A712DB" w:rsidRPr="00A712DB" w:rsidRDefault="00A712DB" w:rsidP="00172379">
      <w:pPr>
        <w:pStyle w:val="ListParagraph"/>
        <w:numPr>
          <w:ilvl w:val="0"/>
          <w:numId w:val="6"/>
        </w:numPr>
        <w:spacing w:after="0"/>
        <w:contextualSpacing w:val="0"/>
        <w:jc w:val="both"/>
        <w:rPr>
          <w:b/>
        </w:rPr>
      </w:pPr>
      <w:r w:rsidRPr="00A712DB">
        <w:rPr>
          <w:b/>
        </w:rPr>
        <w:t xml:space="preserve">Any (anticipated) issues regarding grant making: </w:t>
      </w:r>
    </w:p>
    <w:p w:rsidR="00CB0D39" w:rsidRDefault="00CB0D39" w:rsidP="00172379">
      <w:pPr>
        <w:pStyle w:val="ListParagraph"/>
        <w:numPr>
          <w:ilvl w:val="0"/>
          <w:numId w:val="9"/>
        </w:numPr>
        <w:spacing w:after="0" w:line="240" w:lineRule="auto"/>
        <w:contextualSpacing w:val="0"/>
        <w:rPr>
          <w:color w:val="000000" w:themeColor="text1"/>
        </w:rPr>
      </w:pPr>
      <w:r>
        <w:rPr>
          <w:color w:val="000000" w:themeColor="text1"/>
        </w:rPr>
        <w:t xml:space="preserve">Co-payment (government counterpart funding) still outstanding. </w:t>
      </w:r>
      <w:r w:rsidR="00C43FB5">
        <w:rPr>
          <w:color w:val="000000" w:themeColor="text1"/>
        </w:rPr>
        <w:t xml:space="preserve"> </w:t>
      </w:r>
    </w:p>
    <w:p w:rsidR="00C82298" w:rsidRPr="00566B2D" w:rsidRDefault="00CB0D39" w:rsidP="00566B2D">
      <w:pPr>
        <w:pStyle w:val="ListParagraph"/>
        <w:numPr>
          <w:ilvl w:val="0"/>
          <w:numId w:val="9"/>
        </w:numPr>
        <w:spacing w:after="0" w:line="240" w:lineRule="auto"/>
        <w:rPr>
          <w:color w:val="000000" w:themeColor="text1"/>
        </w:rPr>
      </w:pPr>
      <w:r w:rsidRPr="00566B2D">
        <w:rPr>
          <w:color w:val="000000" w:themeColor="text1"/>
        </w:rPr>
        <w:t xml:space="preserve">2.5 million Reprogramming:-Whether any reprogrammed resources have been cleared.  </w:t>
      </w:r>
      <w:r w:rsidR="00566B2D" w:rsidRPr="00566B2D">
        <w:rPr>
          <w:color w:val="000000" w:themeColor="text1"/>
        </w:rPr>
        <w:t>$42m to</w:t>
      </w:r>
      <w:r w:rsidRPr="00566B2D">
        <w:rPr>
          <w:color w:val="000000" w:themeColor="text1"/>
        </w:rPr>
        <w:t xml:space="preserve"> be spent by December.</w:t>
      </w:r>
      <w:r w:rsidR="00C43FB5">
        <w:rPr>
          <w:color w:val="000000" w:themeColor="text1"/>
        </w:rPr>
        <w:t xml:space="preserve"> </w:t>
      </w:r>
    </w:p>
    <w:p w:rsidR="00566B2D" w:rsidRDefault="00CB0D39" w:rsidP="00566B2D">
      <w:pPr>
        <w:pStyle w:val="ListParagraph"/>
        <w:numPr>
          <w:ilvl w:val="0"/>
          <w:numId w:val="9"/>
        </w:numPr>
        <w:spacing w:after="0" w:line="240" w:lineRule="auto"/>
        <w:contextualSpacing w:val="0"/>
        <w:rPr>
          <w:color w:val="000000" w:themeColor="text1"/>
        </w:rPr>
      </w:pPr>
      <w:r>
        <w:rPr>
          <w:color w:val="000000" w:themeColor="text1"/>
        </w:rPr>
        <w:t xml:space="preserve">Oversupply of commodities likely to </w:t>
      </w:r>
      <w:r w:rsidR="00566B2D">
        <w:rPr>
          <w:color w:val="000000" w:themeColor="text1"/>
        </w:rPr>
        <w:t>thwart</w:t>
      </w:r>
      <w:r>
        <w:rPr>
          <w:color w:val="000000" w:themeColor="text1"/>
        </w:rPr>
        <w:t xml:space="preserve"> ability to meet burn rate</w:t>
      </w:r>
      <w:r w:rsidR="00C1378D">
        <w:rPr>
          <w:color w:val="000000" w:themeColor="text1"/>
        </w:rPr>
        <w:t>?</w:t>
      </w:r>
      <w:r w:rsidR="00B05674">
        <w:rPr>
          <w:color w:val="000000" w:themeColor="text1"/>
        </w:rPr>
        <w:t xml:space="preserve"> </w:t>
      </w:r>
      <w:r w:rsidR="00566B2D">
        <w:rPr>
          <w:color w:val="000000" w:themeColor="text1"/>
        </w:rPr>
        <w:t xml:space="preserve">NMCP explained that this was not likely because </w:t>
      </w:r>
      <w:r>
        <w:rPr>
          <w:color w:val="000000" w:themeColor="text1"/>
        </w:rPr>
        <w:t>SMC for UE/UW outstanding, case management training in all ten regions</w:t>
      </w:r>
      <w:r w:rsidR="00566B2D">
        <w:rPr>
          <w:color w:val="000000" w:themeColor="text1"/>
        </w:rPr>
        <w:t xml:space="preserve"> will absorb excess funds</w:t>
      </w:r>
      <w:r>
        <w:rPr>
          <w:color w:val="000000" w:themeColor="text1"/>
        </w:rPr>
        <w:t>.</w:t>
      </w:r>
    </w:p>
    <w:p w:rsidR="00566B2D" w:rsidRPr="00566B2D" w:rsidRDefault="00566B2D" w:rsidP="00F1037C">
      <w:pPr>
        <w:pStyle w:val="NoSpacing"/>
      </w:pPr>
    </w:p>
    <w:p w:rsidR="00CB0D39" w:rsidRDefault="00C1378D" w:rsidP="00566B2D">
      <w:pPr>
        <w:pStyle w:val="ListParagraph"/>
        <w:numPr>
          <w:ilvl w:val="0"/>
          <w:numId w:val="9"/>
        </w:numPr>
        <w:spacing w:after="0" w:line="240" w:lineRule="auto"/>
        <w:contextualSpacing w:val="0"/>
        <w:rPr>
          <w:color w:val="000000" w:themeColor="text1"/>
        </w:rPr>
      </w:pPr>
      <w:r>
        <w:rPr>
          <w:color w:val="000000" w:themeColor="text1"/>
        </w:rPr>
        <w:t xml:space="preserve">Why SMC when IRS is so pervasive in UE/UW. Why are you overlaying that with Chemoprophylaxis?  </w:t>
      </w:r>
      <w:r w:rsidR="00566B2D">
        <w:rPr>
          <w:color w:val="000000" w:themeColor="text1"/>
        </w:rPr>
        <w:t>NMCP responded that  this was so because  SMC wa</w:t>
      </w:r>
      <w:r>
        <w:rPr>
          <w:color w:val="000000" w:themeColor="text1"/>
        </w:rPr>
        <w:t xml:space="preserve">s limited to a specific age (children under 5)  so </w:t>
      </w:r>
      <w:r w:rsidR="00566B2D">
        <w:rPr>
          <w:color w:val="000000" w:themeColor="text1"/>
        </w:rPr>
        <w:t>they</w:t>
      </w:r>
      <w:r>
        <w:rPr>
          <w:color w:val="000000" w:themeColor="text1"/>
        </w:rPr>
        <w:t xml:space="preserve"> still need that complimentary control measures.  </w:t>
      </w:r>
    </w:p>
    <w:p w:rsidR="00CB0D39" w:rsidRDefault="00CB0D39" w:rsidP="00C82298">
      <w:pPr>
        <w:pStyle w:val="ListParagraph"/>
        <w:spacing w:after="0" w:line="240" w:lineRule="auto"/>
        <w:ind w:left="717"/>
        <w:contextualSpacing w:val="0"/>
        <w:rPr>
          <w:color w:val="000000" w:themeColor="text1"/>
        </w:rPr>
      </w:pPr>
    </w:p>
    <w:p w:rsidR="00C1378D" w:rsidRDefault="00C1378D" w:rsidP="00C82298">
      <w:pPr>
        <w:pStyle w:val="ListParagraph"/>
        <w:spacing w:after="0" w:line="240" w:lineRule="auto"/>
        <w:ind w:left="717"/>
        <w:contextualSpacing w:val="0"/>
        <w:rPr>
          <w:color w:val="000000" w:themeColor="text1"/>
        </w:rPr>
      </w:pPr>
    </w:p>
    <w:p w:rsidR="0051550D" w:rsidRPr="0011345E" w:rsidRDefault="00E360DF" w:rsidP="00172379">
      <w:pPr>
        <w:pStyle w:val="ListParagraph"/>
        <w:numPr>
          <w:ilvl w:val="0"/>
          <w:numId w:val="4"/>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64"/>
        <w:gridCol w:w="3197"/>
        <w:gridCol w:w="3976"/>
      </w:tblGrid>
      <w:tr w:rsidR="00392163" w:rsidTr="00566B2D">
        <w:tc>
          <w:tcPr>
            <w:tcW w:w="1864" w:type="dxa"/>
          </w:tcPr>
          <w:p w:rsidR="00F1000E" w:rsidRDefault="00F1000E" w:rsidP="007461FA">
            <w:pPr>
              <w:pStyle w:val="ListParagraph"/>
              <w:spacing w:before="120"/>
              <w:ind w:left="0"/>
              <w:contextualSpacing w:val="0"/>
              <w:jc w:val="both"/>
              <w:rPr>
                <w:b/>
              </w:rPr>
            </w:pPr>
            <w:r>
              <w:rPr>
                <w:b/>
              </w:rPr>
              <w:t>Indicator</w:t>
            </w:r>
          </w:p>
        </w:tc>
        <w:tc>
          <w:tcPr>
            <w:tcW w:w="3197" w:type="dxa"/>
          </w:tcPr>
          <w:p w:rsidR="00F1000E" w:rsidRDefault="00F1000E" w:rsidP="007461FA">
            <w:pPr>
              <w:pStyle w:val="ListParagraph"/>
              <w:spacing w:before="120"/>
              <w:ind w:left="0"/>
              <w:contextualSpacing w:val="0"/>
              <w:jc w:val="both"/>
              <w:rPr>
                <w:b/>
              </w:rPr>
            </w:pPr>
            <w:r>
              <w:rPr>
                <w:b/>
              </w:rPr>
              <w:t xml:space="preserve">Observation </w:t>
            </w:r>
          </w:p>
        </w:tc>
        <w:tc>
          <w:tcPr>
            <w:tcW w:w="3976" w:type="dxa"/>
          </w:tcPr>
          <w:p w:rsidR="00F1000E" w:rsidRDefault="00F1000E" w:rsidP="007461FA">
            <w:pPr>
              <w:pStyle w:val="ListParagraph"/>
              <w:spacing w:before="120"/>
              <w:ind w:left="0"/>
              <w:contextualSpacing w:val="0"/>
              <w:jc w:val="both"/>
              <w:rPr>
                <w:b/>
              </w:rPr>
            </w:pPr>
            <w:r>
              <w:rPr>
                <w:b/>
              </w:rPr>
              <w:t xml:space="preserve">Answer / Decision </w:t>
            </w:r>
          </w:p>
        </w:tc>
      </w:tr>
      <w:tr w:rsidR="00392163" w:rsidTr="00566B2D">
        <w:tc>
          <w:tcPr>
            <w:tcW w:w="1864" w:type="dxa"/>
          </w:tcPr>
          <w:p w:rsidR="00F1000E" w:rsidRDefault="00F1000E" w:rsidP="007461FA">
            <w:pPr>
              <w:pStyle w:val="ListParagraph"/>
              <w:spacing w:before="120"/>
              <w:ind w:left="0"/>
              <w:contextualSpacing w:val="0"/>
              <w:jc w:val="both"/>
              <w:rPr>
                <w:b/>
              </w:rPr>
            </w:pPr>
            <w:r>
              <w:rPr>
                <w:b/>
              </w:rPr>
              <w:t>Absorption rate</w:t>
            </w:r>
          </w:p>
        </w:tc>
        <w:tc>
          <w:tcPr>
            <w:tcW w:w="3197" w:type="dxa"/>
          </w:tcPr>
          <w:p w:rsidR="00FF6CE5" w:rsidRDefault="00C1378D" w:rsidP="00630A28">
            <w:pPr>
              <w:pStyle w:val="ListParagraph"/>
              <w:spacing w:before="120"/>
              <w:ind w:left="0"/>
              <w:contextualSpacing w:val="0"/>
            </w:pPr>
            <w:r>
              <w:t>D</w:t>
            </w:r>
            <w:r w:rsidR="00A506DC">
              <w:t xml:space="preserve">isbursement: 81%, Absorption rate: </w:t>
            </w:r>
            <w:r>
              <w:t>72%</w:t>
            </w:r>
          </w:p>
          <w:p w:rsidR="00C1378D" w:rsidRPr="001571F6" w:rsidRDefault="00566B2D" w:rsidP="000567E9">
            <w:r>
              <w:rPr>
                <w:rFonts w:ascii="Calibri" w:hAnsi="Calibri" w:cs="Calibri"/>
                <w:color w:val="000000" w:themeColor="text1"/>
              </w:rPr>
              <w:t xml:space="preserve">Not burning at P10.  Danger of losing money. </w:t>
            </w:r>
            <w:r w:rsidR="00C1378D">
              <w:t xml:space="preserve">Excess of $20m may remain unspent.   </w:t>
            </w:r>
          </w:p>
        </w:tc>
        <w:tc>
          <w:tcPr>
            <w:tcW w:w="3976" w:type="dxa"/>
          </w:tcPr>
          <w:p w:rsidR="00C1378D" w:rsidRPr="003D582F" w:rsidRDefault="00C1378D" w:rsidP="00566B2D">
            <w:pPr>
              <w:rPr>
                <w:rFonts w:ascii="Calibri" w:hAnsi="Calibri" w:cs="Calibri"/>
                <w:color w:val="000000" w:themeColor="text1"/>
              </w:rPr>
            </w:pPr>
            <w:r>
              <w:rPr>
                <w:rFonts w:ascii="Calibri" w:hAnsi="Calibri" w:cs="Calibri"/>
                <w:color w:val="000000" w:themeColor="text1"/>
              </w:rPr>
              <w:t xml:space="preserve">Monitoring and supervision, Training </w:t>
            </w:r>
            <w:r w:rsidR="00E071B3">
              <w:rPr>
                <w:rFonts w:ascii="Calibri" w:hAnsi="Calibri" w:cs="Calibri"/>
                <w:color w:val="000000" w:themeColor="text1"/>
              </w:rPr>
              <w:t>– On</w:t>
            </w:r>
            <w:r w:rsidR="00566B2D">
              <w:rPr>
                <w:rFonts w:ascii="Calibri" w:hAnsi="Calibri" w:cs="Calibri"/>
                <w:color w:val="000000" w:themeColor="text1"/>
              </w:rPr>
              <w:t>-site</w:t>
            </w:r>
            <w:r w:rsidR="00E071B3">
              <w:rPr>
                <w:rFonts w:ascii="Calibri" w:hAnsi="Calibri" w:cs="Calibri"/>
                <w:color w:val="000000" w:themeColor="text1"/>
              </w:rPr>
              <w:t xml:space="preserve"> training and supportive supervision</w:t>
            </w:r>
            <w:r w:rsidR="00566B2D">
              <w:rPr>
                <w:rFonts w:ascii="Calibri" w:hAnsi="Calibri" w:cs="Calibri"/>
                <w:color w:val="000000" w:themeColor="text1"/>
              </w:rPr>
              <w:t xml:space="preserve"> expect </w:t>
            </w:r>
            <w:r w:rsidR="002F4244" w:rsidRPr="002F4244">
              <w:rPr>
                <w:rFonts w:ascii="Calibri" w:hAnsi="Calibri" w:cs="Calibri"/>
                <w:color w:val="000000" w:themeColor="text1"/>
                <w:u w:val="single"/>
              </w:rPr>
              <w:t>to burn available funds.</w:t>
            </w:r>
          </w:p>
        </w:tc>
      </w:tr>
      <w:tr w:rsidR="00392163" w:rsidTr="00566B2D">
        <w:tc>
          <w:tcPr>
            <w:tcW w:w="1864" w:type="dxa"/>
            <w:tcBorders>
              <w:bottom w:val="single" w:sz="4" w:space="0" w:color="auto"/>
            </w:tcBorders>
          </w:tcPr>
          <w:p w:rsidR="00F1000E" w:rsidRDefault="00A712DB" w:rsidP="00A712DB">
            <w:pPr>
              <w:pStyle w:val="ListParagraph"/>
              <w:spacing w:before="120"/>
              <w:ind w:left="0"/>
              <w:contextualSpacing w:val="0"/>
              <w:rPr>
                <w:b/>
              </w:rPr>
            </w:pPr>
            <w:r>
              <w:rPr>
                <w:b/>
              </w:rPr>
              <w:t xml:space="preserve">Disaggregated absorption </w:t>
            </w:r>
            <w:r w:rsidR="00F1000E">
              <w:rPr>
                <w:b/>
              </w:rPr>
              <w:t>rate by grant objective</w:t>
            </w:r>
          </w:p>
        </w:tc>
        <w:tc>
          <w:tcPr>
            <w:tcW w:w="3197" w:type="dxa"/>
            <w:tcBorders>
              <w:bottom w:val="single" w:sz="4" w:space="0" w:color="auto"/>
            </w:tcBorders>
          </w:tcPr>
          <w:p w:rsidR="00D84A6F" w:rsidRDefault="00517F72" w:rsidP="00D84A6F">
            <w:pPr>
              <w:pStyle w:val="ListParagraph"/>
              <w:spacing w:before="120"/>
              <w:ind w:left="0"/>
              <w:contextualSpacing w:val="0"/>
            </w:pPr>
            <w:r>
              <w:t>Case management outstanding expenses</w:t>
            </w:r>
          </w:p>
          <w:p w:rsidR="00C43FB5" w:rsidRDefault="00C43FB5" w:rsidP="00D84A6F">
            <w:pPr>
              <w:pStyle w:val="ListParagraph"/>
              <w:spacing w:before="120"/>
              <w:ind w:left="0"/>
              <w:contextualSpacing w:val="0"/>
            </w:pPr>
          </w:p>
          <w:p w:rsidR="00C43FB5" w:rsidRDefault="00C43FB5" w:rsidP="00D84A6F">
            <w:pPr>
              <w:pStyle w:val="ListParagraph"/>
              <w:spacing w:before="120"/>
              <w:ind w:left="0"/>
              <w:contextualSpacing w:val="0"/>
            </w:pPr>
          </w:p>
          <w:p w:rsidR="009215F2" w:rsidRDefault="002F4244">
            <w:r w:rsidRPr="002F4244">
              <w:rPr>
                <w:color w:val="000000" w:themeColor="text1"/>
              </w:rPr>
              <w:t xml:space="preserve">Why SMC when IRS is so pervasive in UE/UW. Why are you overlaying that with Chemoprophylaxis?  </w:t>
            </w:r>
          </w:p>
        </w:tc>
        <w:tc>
          <w:tcPr>
            <w:tcW w:w="3976" w:type="dxa"/>
            <w:tcBorders>
              <w:bottom w:val="single" w:sz="4" w:space="0" w:color="auto"/>
            </w:tcBorders>
          </w:tcPr>
          <w:p w:rsidR="00F1000E" w:rsidRDefault="00E071B3" w:rsidP="00392163">
            <w:r>
              <w:t>Chunk of money goes into procurement which will be happening in the 3</w:t>
            </w:r>
            <w:r w:rsidRPr="00E071B3">
              <w:rPr>
                <w:vertAlign w:val="superscript"/>
              </w:rPr>
              <w:t>rd</w:t>
            </w:r>
            <w:r>
              <w:t xml:space="preserve"> Qt</w:t>
            </w:r>
            <w:r w:rsidR="00517F72">
              <w:t xml:space="preserve">r.  SMC = $3, 3m </w:t>
            </w:r>
            <w:r>
              <w:t>Nets</w:t>
            </w:r>
            <w:r w:rsidR="00517F72">
              <w:t xml:space="preserve"> = $12</w:t>
            </w:r>
            <w:r>
              <w:t xml:space="preserve">, ACTs, </w:t>
            </w:r>
            <w:r w:rsidR="00517F72">
              <w:t xml:space="preserve"> RDTs, PSM, Training, Freight, Insurance cost etc.</w:t>
            </w:r>
          </w:p>
          <w:p w:rsidR="00C43FB5" w:rsidRDefault="00C43FB5" w:rsidP="00392163"/>
          <w:p w:rsidR="00C43FB5" w:rsidRPr="001571F6" w:rsidRDefault="00C43FB5" w:rsidP="00392163">
            <w:r>
              <w:rPr>
                <w:color w:val="000000" w:themeColor="text1"/>
              </w:rPr>
              <w:t>T</w:t>
            </w:r>
            <w:r w:rsidRPr="00C43FB5">
              <w:rPr>
                <w:color w:val="000000" w:themeColor="text1"/>
              </w:rPr>
              <w:t xml:space="preserve">his was so because  SMC was limited to a specific age (children under 5)  so they still need that complimentary control measures.  </w:t>
            </w:r>
          </w:p>
        </w:tc>
      </w:tr>
      <w:tr w:rsidR="00392163" w:rsidTr="00566B2D">
        <w:tc>
          <w:tcPr>
            <w:tcW w:w="1864" w:type="dxa"/>
            <w:tcBorders>
              <w:bottom w:val="single" w:sz="4" w:space="0" w:color="auto"/>
            </w:tcBorders>
          </w:tcPr>
          <w:p w:rsidR="0051550D" w:rsidRDefault="0051550D" w:rsidP="007461FA">
            <w:pPr>
              <w:pStyle w:val="ListParagraph"/>
              <w:spacing w:before="120"/>
              <w:ind w:left="0"/>
              <w:contextualSpacing w:val="0"/>
              <w:jc w:val="both"/>
              <w:rPr>
                <w:b/>
              </w:rPr>
            </w:pPr>
            <w:r>
              <w:rPr>
                <w:b/>
              </w:rPr>
              <w:t>PSM data</w:t>
            </w:r>
          </w:p>
        </w:tc>
        <w:tc>
          <w:tcPr>
            <w:tcW w:w="3197" w:type="dxa"/>
            <w:tcBorders>
              <w:bottom w:val="single" w:sz="4" w:space="0" w:color="auto"/>
            </w:tcBorders>
          </w:tcPr>
          <w:p w:rsidR="0051550D" w:rsidRPr="001571F6" w:rsidRDefault="00CF54E1" w:rsidP="007461FA">
            <w:pPr>
              <w:pStyle w:val="ListParagraph"/>
              <w:spacing w:before="120"/>
              <w:ind w:left="0"/>
              <w:contextualSpacing w:val="0"/>
            </w:pPr>
            <w:r>
              <w:t>22m commitment for products?</w:t>
            </w:r>
          </w:p>
        </w:tc>
        <w:tc>
          <w:tcPr>
            <w:tcW w:w="3976" w:type="dxa"/>
            <w:tcBorders>
              <w:bottom w:val="single" w:sz="4" w:space="0" w:color="auto"/>
            </w:tcBorders>
          </w:tcPr>
          <w:p w:rsidR="0051550D" w:rsidRPr="00A874E8" w:rsidRDefault="00CF54E1" w:rsidP="00A874E8">
            <w:pPr>
              <w:rPr>
                <w:rFonts w:ascii="Calibri" w:hAnsi="Calibri" w:cs="Calibri"/>
                <w:color w:val="000000" w:themeColor="text1"/>
              </w:rPr>
            </w:pPr>
            <w:r>
              <w:rPr>
                <w:rFonts w:ascii="Calibri" w:hAnsi="Calibri" w:cs="Calibri"/>
                <w:color w:val="000000" w:themeColor="text1"/>
              </w:rPr>
              <w:t>Procurement ongoing</w:t>
            </w:r>
          </w:p>
        </w:tc>
      </w:tr>
    </w:tbl>
    <w:p w:rsidR="005D21A8" w:rsidRDefault="005D21A8">
      <w:pPr>
        <w:rPr>
          <w:b/>
        </w:rPr>
      </w:pPr>
    </w:p>
    <w:p w:rsidR="0004237F" w:rsidRPr="0015382A" w:rsidRDefault="0004237F" w:rsidP="00172379">
      <w:pPr>
        <w:pStyle w:val="ListParagraph"/>
        <w:numPr>
          <w:ilvl w:val="0"/>
          <w:numId w:val="4"/>
        </w:numPr>
        <w:spacing w:after="120"/>
        <w:contextualSpacing w:val="0"/>
        <w:jc w:val="both"/>
        <w:rPr>
          <w:b/>
        </w:rPr>
      </w:pPr>
      <w:bookmarkStart w:id="0" w:name="_GoBack"/>
      <w:bookmarkEnd w:id="0"/>
      <w:r w:rsidRPr="0015382A">
        <w:rPr>
          <w:b/>
        </w:rPr>
        <w:t xml:space="preserve">Management Indicators: </w:t>
      </w:r>
    </w:p>
    <w:tbl>
      <w:tblPr>
        <w:tblStyle w:val="TableGrid"/>
        <w:tblW w:w="0" w:type="auto"/>
        <w:tblInd w:w="357" w:type="dxa"/>
        <w:tblLook w:val="04A0" w:firstRow="1" w:lastRow="0" w:firstColumn="1" w:lastColumn="0" w:noHBand="0" w:noVBand="1"/>
      </w:tblPr>
      <w:tblGrid>
        <w:gridCol w:w="1731"/>
        <w:gridCol w:w="2949"/>
        <w:gridCol w:w="4357"/>
      </w:tblGrid>
      <w:tr w:rsidR="0004237F" w:rsidTr="00392163">
        <w:tc>
          <w:tcPr>
            <w:tcW w:w="1731" w:type="dxa"/>
          </w:tcPr>
          <w:p w:rsidR="0004237F" w:rsidRDefault="0004237F" w:rsidP="007461FA">
            <w:pPr>
              <w:pStyle w:val="ListParagraph"/>
              <w:spacing w:before="120"/>
              <w:ind w:left="0"/>
              <w:contextualSpacing w:val="0"/>
              <w:jc w:val="both"/>
              <w:rPr>
                <w:b/>
              </w:rPr>
            </w:pPr>
            <w:r>
              <w:rPr>
                <w:b/>
              </w:rPr>
              <w:t>Indicator</w:t>
            </w:r>
          </w:p>
        </w:tc>
        <w:tc>
          <w:tcPr>
            <w:tcW w:w="2949" w:type="dxa"/>
          </w:tcPr>
          <w:p w:rsidR="0004237F" w:rsidRDefault="0004237F" w:rsidP="007461FA">
            <w:pPr>
              <w:pStyle w:val="ListParagraph"/>
              <w:spacing w:before="120"/>
              <w:ind w:left="0"/>
              <w:contextualSpacing w:val="0"/>
              <w:jc w:val="both"/>
              <w:rPr>
                <w:b/>
              </w:rPr>
            </w:pPr>
            <w:r>
              <w:rPr>
                <w:b/>
              </w:rPr>
              <w:t xml:space="preserve">Observation  </w:t>
            </w:r>
          </w:p>
        </w:tc>
        <w:tc>
          <w:tcPr>
            <w:tcW w:w="4357" w:type="dxa"/>
          </w:tcPr>
          <w:p w:rsidR="0004237F" w:rsidRDefault="0004237F" w:rsidP="007461FA">
            <w:pPr>
              <w:pStyle w:val="ListParagraph"/>
              <w:spacing w:before="120"/>
              <w:ind w:left="0"/>
              <w:contextualSpacing w:val="0"/>
              <w:jc w:val="both"/>
              <w:rPr>
                <w:b/>
              </w:rPr>
            </w:pPr>
            <w:r>
              <w:rPr>
                <w:b/>
              </w:rPr>
              <w:t xml:space="preserve">Answer / Decision </w:t>
            </w:r>
          </w:p>
        </w:tc>
      </w:tr>
      <w:tr w:rsidR="0004237F" w:rsidTr="00392163">
        <w:trPr>
          <w:trHeight w:val="558"/>
        </w:trPr>
        <w:tc>
          <w:tcPr>
            <w:tcW w:w="1731" w:type="dxa"/>
          </w:tcPr>
          <w:p w:rsidR="0004237F" w:rsidRDefault="0004237F" w:rsidP="007461FA">
            <w:pPr>
              <w:pStyle w:val="ListParagraph"/>
              <w:spacing w:before="120"/>
              <w:ind w:left="0"/>
              <w:contextualSpacing w:val="0"/>
              <w:rPr>
                <w:b/>
              </w:rPr>
            </w:pPr>
            <w:r>
              <w:rPr>
                <w:b/>
              </w:rPr>
              <w:t>Availability of commodities</w:t>
            </w:r>
          </w:p>
          <w:p w:rsidR="00591C16" w:rsidRDefault="00591C16" w:rsidP="00BC4450">
            <w:pPr>
              <w:pStyle w:val="ListParagraph"/>
              <w:spacing w:before="120"/>
              <w:ind w:left="0"/>
              <w:contextualSpacing w:val="0"/>
              <w:rPr>
                <w:b/>
              </w:rPr>
            </w:pPr>
            <w:r>
              <w:rPr>
                <w:b/>
              </w:rPr>
              <w:t>As stock E/</w:t>
            </w:r>
            <w:r w:rsidR="00BC4450">
              <w:rPr>
                <w:b/>
              </w:rPr>
              <w:t>XX</w:t>
            </w:r>
            <w:r>
              <w:rPr>
                <w:b/>
              </w:rPr>
              <w:t xml:space="preserve"> stock report</w:t>
            </w:r>
          </w:p>
        </w:tc>
        <w:tc>
          <w:tcPr>
            <w:tcW w:w="2949" w:type="dxa"/>
          </w:tcPr>
          <w:p w:rsidR="00E71853" w:rsidRDefault="00E71853" w:rsidP="00D84A6F">
            <w:pPr>
              <w:pStyle w:val="ListParagraph"/>
              <w:spacing w:before="120"/>
              <w:ind w:left="0"/>
              <w:contextualSpacing w:val="0"/>
            </w:pPr>
            <w:r>
              <w:t>No stock outs</w:t>
            </w:r>
            <w:r w:rsidR="00C43FB5">
              <w:t>.</w:t>
            </w:r>
            <w:r w:rsidR="003A2966">
              <w:t xml:space="preserve"> </w:t>
            </w:r>
            <w:r w:rsidR="00C43FB5">
              <w:t xml:space="preserve">Not consistent with Burn Rate.  </w:t>
            </w:r>
          </w:p>
          <w:p w:rsidR="00E71853" w:rsidRDefault="00E71853" w:rsidP="00D84A6F">
            <w:pPr>
              <w:pStyle w:val="ListParagraph"/>
              <w:spacing w:before="120"/>
              <w:ind w:left="0"/>
              <w:contextualSpacing w:val="0"/>
            </w:pPr>
            <w:r>
              <w:t>Several stocks nearing expiration.</w:t>
            </w:r>
          </w:p>
          <w:p w:rsidR="00096710" w:rsidRDefault="00096710" w:rsidP="00D84A6F">
            <w:pPr>
              <w:pStyle w:val="ListParagraph"/>
              <w:spacing w:before="120"/>
              <w:ind w:left="0"/>
              <w:contextualSpacing w:val="0"/>
            </w:pPr>
          </w:p>
          <w:p w:rsidR="00096710" w:rsidRDefault="00096710" w:rsidP="00D84A6F">
            <w:pPr>
              <w:pStyle w:val="ListParagraph"/>
              <w:spacing w:before="120"/>
              <w:ind w:left="0"/>
              <w:contextualSpacing w:val="0"/>
            </w:pPr>
          </w:p>
          <w:p w:rsidR="00096710" w:rsidRDefault="00096710" w:rsidP="00D84A6F">
            <w:pPr>
              <w:pStyle w:val="ListParagraph"/>
              <w:spacing w:before="120"/>
              <w:ind w:left="0"/>
              <w:contextualSpacing w:val="0"/>
            </w:pPr>
          </w:p>
          <w:p w:rsidR="00096710" w:rsidRDefault="00096710" w:rsidP="00D84A6F">
            <w:pPr>
              <w:pStyle w:val="ListParagraph"/>
              <w:spacing w:before="120"/>
              <w:ind w:left="0"/>
              <w:contextualSpacing w:val="0"/>
            </w:pPr>
          </w:p>
          <w:p w:rsidR="00E87B8D" w:rsidRDefault="00E87B8D" w:rsidP="00D84A6F">
            <w:pPr>
              <w:pStyle w:val="ListParagraph"/>
              <w:spacing w:before="120"/>
              <w:ind w:left="0"/>
              <w:contextualSpacing w:val="0"/>
            </w:pPr>
          </w:p>
          <w:p w:rsidR="00096710" w:rsidRDefault="00096710" w:rsidP="00096710">
            <w:pPr>
              <w:pStyle w:val="ListParagraph"/>
              <w:spacing w:before="120"/>
              <w:ind w:left="0"/>
              <w:contextualSpacing w:val="0"/>
            </w:pPr>
            <w:r>
              <w:t xml:space="preserve">Central level Mar to Apr: 16 MoS of </w:t>
            </w:r>
            <w:r w:rsidRPr="001F64C6">
              <w:t xml:space="preserve">AL 20/120mg 12's and </w:t>
            </w:r>
            <w:r>
              <w:t xml:space="preserve">39 </w:t>
            </w:r>
            <w:r w:rsidRPr="001F64C6">
              <w:t>MoS of AA 100/270 (6-13yr) disappeared</w:t>
            </w:r>
            <w:r>
              <w:t xml:space="preserve"> without showing at RMS level</w:t>
            </w:r>
          </w:p>
          <w:p w:rsidR="00096710" w:rsidRDefault="00096710" w:rsidP="00096710">
            <w:pPr>
              <w:pStyle w:val="ListParagraph"/>
              <w:spacing w:before="120"/>
              <w:ind w:left="0"/>
              <w:contextualSpacing w:val="0"/>
            </w:pPr>
            <w:r w:rsidRPr="00CF028F">
              <w:lastRenderedPageBreak/>
              <w:t>AA 50/135</w:t>
            </w:r>
            <w:r>
              <w:t xml:space="preserve"> oversupply at UER/UWR (14+ MoS)</w:t>
            </w:r>
          </w:p>
          <w:p w:rsidR="00E87B8D" w:rsidRDefault="00E87B8D" w:rsidP="00096710">
            <w:pPr>
              <w:pStyle w:val="ListParagraph"/>
              <w:spacing w:before="120"/>
              <w:ind w:left="0"/>
              <w:contextualSpacing w:val="0"/>
            </w:pPr>
          </w:p>
          <w:p w:rsidR="00096710" w:rsidRDefault="00096710" w:rsidP="00096710">
            <w:pPr>
              <w:pStyle w:val="ListParagraph"/>
              <w:spacing w:before="120"/>
              <w:ind w:left="0"/>
              <w:contextualSpacing w:val="0"/>
            </w:pPr>
            <w:r>
              <w:t>Artesunate injection 49 MOS in UWR</w:t>
            </w:r>
          </w:p>
          <w:p w:rsidR="00E87B8D" w:rsidRDefault="00E87B8D" w:rsidP="00096710">
            <w:pPr>
              <w:pStyle w:val="ListParagraph"/>
              <w:spacing w:before="120"/>
              <w:ind w:left="0"/>
              <w:contextualSpacing w:val="0"/>
            </w:pPr>
          </w:p>
          <w:p w:rsidR="00E87B8D" w:rsidRDefault="00E87B8D" w:rsidP="00096710">
            <w:pPr>
              <w:pStyle w:val="ListParagraph"/>
              <w:spacing w:before="120"/>
              <w:ind w:left="0"/>
              <w:contextualSpacing w:val="0"/>
            </w:pPr>
          </w:p>
          <w:p w:rsidR="00096710" w:rsidRDefault="00096710" w:rsidP="00096710">
            <w:pPr>
              <w:pStyle w:val="ListParagraph"/>
              <w:spacing w:before="120"/>
              <w:ind w:left="0"/>
              <w:contextualSpacing w:val="0"/>
            </w:pPr>
            <w:r>
              <w:t>SP arrived in Feb, why did UWR receive such a big quantity (24 MoS)</w:t>
            </w:r>
          </w:p>
          <w:p w:rsidR="00096710" w:rsidRDefault="00096710" w:rsidP="00096710">
            <w:pPr>
              <w:pStyle w:val="ListParagraph"/>
              <w:spacing w:before="120"/>
              <w:ind w:left="0"/>
              <w:contextualSpacing w:val="0"/>
            </w:pPr>
            <w:r>
              <w:t>RDTs: uneven distribution: WR receives &lt;3 MoS while VR &gt;6 MoS but had much more stock initially</w:t>
            </w:r>
          </w:p>
          <w:p w:rsidR="00096710" w:rsidRDefault="00096710" w:rsidP="00096710">
            <w:pPr>
              <w:pStyle w:val="ListParagraph"/>
              <w:spacing w:before="120"/>
              <w:ind w:left="0"/>
              <w:contextualSpacing w:val="0"/>
            </w:pPr>
            <w:r>
              <w:t>Info that facilities don’t have storage space but several RMS issue out several MoS at once (e.g. CR 7.4 MoS RDT, now being entirely stocked out)</w:t>
            </w:r>
          </w:p>
          <w:p w:rsidR="00096710" w:rsidRPr="001571F6" w:rsidRDefault="00096710" w:rsidP="002D327F">
            <w:pPr>
              <w:pStyle w:val="ListParagraph"/>
              <w:spacing w:before="120"/>
              <w:ind w:left="0"/>
              <w:contextualSpacing w:val="0"/>
            </w:pPr>
            <w:r>
              <w:t xml:space="preserve">Alleged risk of expiries because facilities buy on the open market. Drug may expire at the level of facilities. </w:t>
            </w:r>
            <w:r w:rsidR="001405F5">
              <w:t xml:space="preserve">  </w:t>
            </w:r>
          </w:p>
        </w:tc>
        <w:tc>
          <w:tcPr>
            <w:tcW w:w="4357" w:type="dxa"/>
          </w:tcPr>
          <w:p w:rsidR="001F64C6" w:rsidRDefault="00C43FB5" w:rsidP="007461FA">
            <w:pPr>
              <w:pStyle w:val="ListParagraph"/>
              <w:spacing w:before="120"/>
              <w:ind w:left="0"/>
              <w:contextualSpacing w:val="0"/>
            </w:pPr>
            <w:r>
              <w:lastRenderedPageBreak/>
              <w:t>M</w:t>
            </w:r>
            <w:r w:rsidR="00E71853">
              <w:t>ost commodities are scheduled to be procured in Q3.</w:t>
            </w:r>
          </w:p>
          <w:p w:rsidR="00E71853" w:rsidRDefault="00E71853" w:rsidP="007461FA">
            <w:pPr>
              <w:pStyle w:val="ListParagraph"/>
              <w:spacing w:before="120"/>
              <w:ind w:left="0"/>
              <w:contextualSpacing w:val="0"/>
            </w:pPr>
            <w:r>
              <w:t>Expiring drugs to be distributed through private sector facilities.  They have been contacted to bring their requests.</w:t>
            </w:r>
          </w:p>
          <w:p w:rsidR="00E87B8D" w:rsidRDefault="00E87B8D" w:rsidP="00E87B8D">
            <w:pPr>
              <w:pStyle w:val="ListParagraph"/>
              <w:spacing w:before="120"/>
              <w:ind w:left="0"/>
              <w:contextualSpacing w:val="0"/>
            </w:pPr>
            <w:r>
              <w:t>Remove price mark-up to increase uptake of ACTs.</w:t>
            </w:r>
            <w:r w:rsidR="00C43FB5">
              <w:t xml:space="preserve"> Fees charged on GF drugs by facilities hampering uptake of GF commodities and promoting procurement from open market.</w:t>
            </w:r>
          </w:p>
          <w:p w:rsidR="00E71853" w:rsidRDefault="00E71853" w:rsidP="007461FA">
            <w:pPr>
              <w:pStyle w:val="ListParagraph"/>
              <w:spacing w:before="120"/>
              <w:ind w:left="0"/>
              <w:contextualSpacing w:val="0"/>
            </w:pPr>
          </w:p>
          <w:p w:rsidR="00096710" w:rsidRDefault="00096710" w:rsidP="007461FA">
            <w:pPr>
              <w:pStyle w:val="ListParagraph"/>
              <w:spacing w:before="120"/>
              <w:ind w:left="0"/>
              <w:contextualSpacing w:val="0"/>
            </w:pPr>
          </w:p>
          <w:p w:rsidR="00E87B8D" w:rsidRDefault="00E87B8D" w:rsidP="007461FA">
            <w:pPr>
              <w:pStyle w:val="ListParagraph"/>
              <w:spacing w:before="120"/>
              <w:ind w:left="0"/>
              <w:contextualSpacing w:val="0"/>
            </w:pPr>
            <w:r>
              <w:t>If not pushed on them, then it will be on their request.</w:t>
            </w:r>
          </w:p>
          <w:p w:rsidR="00E87B8D" w:rsidRDefault="00E87B8D" w:rsidP="007461FA">
            <w:pPr>
              <w:pStyle w:val="ListParagraph"/>
              <w:spacing w:before="120"/>
              <w:ind w:left="0"/>
              <w:contextualSpacing w:val="0"/>
            </w:pPr>
          </w:p>
          <w:p w:rsidR="00E87B8D" w:rsidRDefault="00E87B8D" w:rsidP="007461FA">
            <w:pPr>
              <w:pStyle w:val="ListParagraph"/>
              <w:spacing w:before="120"/>
              <w:ind w:left="0"/>
              <w:contextualSpacing w:val="0"/>
            </w:pPr>
            <w:r>
              <w:lastRenderedPageBreak/>
              <w:t>Huge challenge. Redistribution proposed. This was as a result of donation from Chinese Government. Also low requisition due to procurement on open market by facilities.</w:t>
            </w:r>
          </w:p>
          <w:p w:rsidR="00E87B8D" w:rsidRDefault="00E87B8D" w:rsidP="007461FA">
            <w:pPr>
              <w:pStyle w:val="ListParagraph"/>
              <w:spacing w:before="120"/>
              <w:ind w:left="0"/>
              <w:contextualSpacing w:val="0"/>
            </w:pPr>
          </w:p>
          <w:p w:rsidR="00C43FB5" w:rsidRDefault="00C43FB5" w:rsidP="007461FA">
            <w:pPr>
              <w:pStyle w:val="ListParagraph"/>
              <w:spacing w:before="120"/>
              <w:ind w:left="0"/>
              <w:contextualSpacing w:val="0"/>
            </w:pPr>
          </w:p>
          <w:p w:rsidR="00C43FB5" w:rsidRDefault="00C43FB5" w:rsidP="007461FA">
            <w:pPr>
              <w:pStyle w:val="ListParagraph"/>
              <w:spacing w:before="120"/>
              <w:ind w:left="0"/>
              <w:contextualSpacing w:val="0"/>
            </w:pPr>
          </w:p>
          <w:p w:rsidR="00E87B8D" w:rsidRDefault="00F1037C" w:rsidP="007461FA">
            <w:pPr>
              <w:pStyle w:val="ListParagraph"/>
              <w:spacing w:before="120"/>
              <w:ind w:left="0"/>
              <w:contextualSpacing w:val="0"/>
            </w:pPr>
            <w:r>
              <w:t>Over-request by regions which was based on trends.  However intensified interventions resulted in reduced cases leading to low uptake of commodities</w:t>
            </w:r>
            <w:r w:rsidR="00C43FB5">
              <w:t xml:space="preserve"> Redistribution planned through private sector institutions.</w:t>
            </w:r>
          </w:p>
          <w:p w:rsidR="00E87B8D" w:rsidRDefault="00E87B8D" w:rsidP="007461FA">
            <w:pPr>
              <w:pStyle w:val="ListParagraph"/>
              <w:spacing w:before="120"/>
              <w:ind w:left="0"/>
              <w:contextualSpacing w:val="0"/>
            </w:pPr>
          </w:p>
          <w:p w:rsidR="00E87B8D" w:rsidRDefault="00E87B8D" w:rsidP="007461FA">
            <w:pPr>
              <w:pStyle w:val="ListParagraph"/>
              <w:spacing w:before="120"/>
              <w:ind w:left="0"/>
              <w:contextualSpacing w:val="0"/>
            </w:pPr>
          </w:p>
          <w:p w:rsidR="00E87B8D" w:rsidRDefault="00E87B8D" w:rsidP="007461FA">
            <w:pPr>
              <w:pStyle w:val="ListParagraph"/>
              <w:spacing w:before="120"/>
              <w:ind w:left="0"/>
              <w:contextualSpacing w:val="0"/>
            </w:pPr>
          </w:p>
          <w:p w:rsidR="00E87B8D" w:rsidRDefault="00E87B8D" w:rsidP="007461FA">
            <w:pPr>
              <w:pStyle w:val="ListParagraph"/>
              <w:spacing w:before="120"/>
              <w:ind w:left="0"/>
              <w:contextualSpacing w:val="0"/>
            </w:pPr>
          </w:p>
          <w:p w:rsidR="00E87B8D" w:rsidRPr="001571F6" w:rsidRDefault="00E87B8D" w:rsidP="007461FA">
            <w:pPr>
              <w:pStyle w:val="ListParagraph"/>
              <w:spacing w:before="120"/>
              <w:ind w:left="0"/>
              <w:contextualSpacing w:val="0"/>
            </w:pPr>
          </w:p>
        </w:tc>
      </w:tr>
      <w:tr w:rsidR="00BC4450" w:rsidTr="00392163">
        <w:trPr>
          <w:trHeight w:val="558"/>
        </w:trPr>
        <w:tc>
          <w:tcPr>
            <w:tcW w:w="1731" w:type="dxa"/>
          </w:tcPr>
          <w:p w:rsidR="00BC4450" w:rsidRDefault="00BC4450" w:rsidP="007461FA">
            <w:pPr>
              <w:pStyle w:val="ListParagraph"/>
              <w:spacing w:before="120"/>
              <w:ind w:left="0"/>
              <w:contextualSpacing w:val="0"/>
              <w:rPr>
                <w:b/>
              </w:rPr>
            </w:pPr>
          </w:p>
        </w:tc>
        <w:tc>
          <w:tcPr>
            <w:tcW w:w="2949" w:type="dxa"/>
          </w:tcPr>
          <w:p w:rsidR="00BC4450" w:rsidRPr="001571F6" w:rsidRDefault="00BC4450" w:rsidP="00D84A6F">
            <w:pPr>
              <w:pStyle w:val="ListParagraph"/>
              <w:spacing w:before="120"/>
              <w:ind w:left="0"/>
              <w:contextualSpacing w:val="0"/>
            </w:pPr>
          </w:p>
        </w:tc>
        <w:tc>
          <w:tcPr>
            <w:tcW w:w="4357" w:type="dxa"/>
          </w:tcPr>
          <w:p w:rsidR="00BC4450" w:rsidRDefault="00BC4450" w:rsidP="007461FA">
            <w:pPr>
              <w:pStyle w:val="ListParagraph"/>
              <w:spacing w:before="120"/>
              <w:ind w:left="0"/>
              <w:contextualSpacing w:val="0"/>
            </w:pPr>
          </w:p>
        </w:tc>
      </w:tr>
    </w:tbl>
    <w:p w:rsidR="00E360DF" w:rsidRPr="00463ABD" w:rsidRDefault="00E360DF" w:rsidP="00172379">
      <w:pPr>
        <w:pStyle w:val="ListParagraph"/>
        <w:numPr>
          <w:ilvl w:val="0"/>
          <w:numId w:val="4"/>
        </w:numPr>
        <w:spacing w:before="360" w:after="120"/>
        <w:contextualSpacing w:val="0"/>
        <w:jc w:val="both"/>
      </w:pPr>
      <w:r w:rsidRPr="007D6E1C">
        <w:rPr>
          <w:b/>
        </w:rPr>
        <w:t>Programmatic Indicators:</w:t>
      </w:r>
    </w:p>
    <w:tbl>
      <w:tblPr>
        <w:tblStyle w:val="TableGrid"/>
        <w:tblW w:w="0" w:type="auto"/>
        <w:tblInd w:w="357" w:type="dxa"/>
        <w:tblLook w:val="04A0" w:firstRow="1" w:lastRow="0" w:firstColumn="1" w:lastColumn="0" w:noHBand="0" w:noVBand="1"/>
      </w:tblPr>
      <w:tblGrid>
        <w:gridCol w:w="1700"/>
        <w:gridCol w:w="2959"/>
        <w:gridCol w:w="4378"/>
      </w:tblGrid>
      <w:tr w:rsidR="00641878" w:rsidTr="005D21A8">
        <w:tc>
          <w:tcPr>
            <w:tcW w:w="1700" w:type="dxa"/>
          </w:tcPr>
          <w:p w:rsidR="00641878" w:rsidRDefault="00641878" w:rsidP="006F645C">
            <w:pPr>
              <w:pStyle w:val="ListParagraph"/>
              <w:spacing w:before="120"/>
              <w:ind w:left="0"/>
              <w:contextualSpacing w:val="0"/>
              <w:jc w:val="both"/>
              <w:rPr>
                <w:b/>
              </w:rPr>
            </w:pPr>
            <w:r>
              <w:rPr>
                <w:b/>
              </w:rPr>
              <w:t>Indicator</w:t>
            </w:r>
          </w:p>
        </w:tc>
        <w:tc>
          <w:tcPr>
            <w:tcW w:w="2959" w:type="dxa"/>
          </w:tcPr>
          <w:p w:rsidR="00641878" w:rsidRDefault="00641878" w:rsidP="006F645C">
            <w:pPr>
              <w:pStyle w:val="ListParagraph"/>
              <w:spacing w:before="120"/>
              <w:ind w:left="0"/>
              <w:contextualSpacing w:val="0"/>
              <w:jc w:val="both"/>
              <w:rPr>
                <w:b/>
              </w:rPr>
            </w:pPr>
            <w:r>
              <w:rPr>
                <w:b/>
              </w:rPr>
              <w:t xml:space="preserve">Observation  </w:t>
            </w:r>
          </w:p>
        </w:tc>
        <w:tc>
          <w:tcPr>
            <w:tcW w:w="4378" w:type="dxa"/>
          </w:tcPr>
          <w:p w:rsidR="00641878" w:rsidRDefault="00641878" w:rsidP="006F645C">
            <w:pPr>
              <w:pStyle w:val="ListParagraph"/>
              <w:spacing w:before="120"/>
              <w:ind w:left="0"/>
              <w:contextualSpacing w:val="0"/>
              <w:jc w:val="both"/>
              <w:rPr>
                <w:b/>
              </w:rPr>
            </w:pPr>
            <w:r>
              <w:rPr>
                <w:b/>
              </w:rPr>
              <w:t xml:space="preserve">Answer / Decision </w:t>
            </w:r>
          </w:p>
        </w:tc>
      </w:tr>
      <w:tr w:rsidR="00BC4450" w:rsidTr="005D21A8">
        <w:tc>
          <w:tcPr>
            <w:tcW w:w="1700" w:type="dxa"/>
          </w:tcPr>
          <w:p w:rsidR="00BC4450" w:rsidRPr="003C0FB3" w:rsidRDefault="00BC4450" w:rsidP="00BC4450">
            <w:pPr>
              <w:pStyle w:val="ListParagraph"/>
              <w:spacing w:before="120"/>
              <w:ind w:left="0"/>
              <w:contextualSpacing w:val="0"/>
              <w:rPr>
                <w:b/>
              </w:rPr>
            </w:pPr>
            <w:r w:rsidRPr="003C0FB3">
              <w:rPr>
                <w:b/>
              </w:rPr>
              <w:t xml:space="preserve">% estimated cases with ACTs </w:t>
            </w:r>
          </w:p>
        </w:tc>
        <w:tc>
          <w:tcPr>
            <w:tcW w:w="2959" w:type="dxa"/>
          </w:tcPr>
          <w:p w:rsidR="00BC4450" w:rsidRDefault="0001752B" w:rsidP="000417E6">
            <w:pPr>
              <w:pStyle w:val="ListParagraph"/>
              <w:spacing w:before="120"/>
              <w:ind w:left="0"/>
              <w:contextualSpacing w:val="0"/>
            </w:pPr>
            <w:r>
              <w:t>102%</w:t>
            </w:r>
          </w:p>
        </w:tc>
        <w:tc>
          <w:tcPr>
            <w:tcW w:w="4378" w:type="dxa"/>
          </w:tcPr>
          <w:p w:rsidR="00BC4450" w:rsidRPr="001571F6" w:rsidRDefault="00BC4450" w:rsidP="00BC4450">
            <w:pPr>
              <w:pStyle w:val="ListParagraph"/>
              <w:spacing w:before="120"/>
              <w:ind w:left="0"/>
              <w:contextualSpacing w:val="0"/>
            </w:pPr>
          </w:p>
        </w:tc>
      </w:tr>
      <w:tr w:rsidR="00BC4450" w:rsidTr="005D21A8">
        <w:tc>
          <w:tcPr>
            <w:tcW w:w="1700" w:type="dxa"/>
          </w:tcPr>
          <w:p w:rsidR="00BC4450" w:rsidRPr="003C0FB3" w:rsidRDefault="00BC4450" w:rsidP="00BC4450">
            <w:pPr>
              <w:pStyle w:val="ListParagraph"/>
              <w:spacing w:before="120"/>
              <w:ind w:left="0"/>
              <w:contextualSpacing w:val="0"/>
              <w:rPr>
                <w:b/>
              </w:rPr>
            </w:pPr>
            <w:r w:rsidRPr="003C0FB3">
              <w:rPr>
                <w:b/>
              </w:rPr>
              <w:t>% parasitological test</w:t>
            </w:r>
          </w:p>
        </w:tc>
        <w:tc>
          <w:tcPr>
            <w:tcW w:w="2959" w:type="dxa"/>
          </w:tcPr>
          <w:p w:rsidR="00BC4450" w:rsidRDefault="0001752B" w:rsidP="000417E6">
            <w:pPr>
              <w:pStyle w:val="ListParagraph"/>
              <w:spacing w:before="120"/>
              <w:ind w:left="0"/>
              <w:contextualSpacing w:val="0"/>
            </w:pPr>
            <w:r>
              <w:t xml:space="preserve">107% </w:t>
            </w:r>
            <w:r w:rsidR="000417E6">
              <w:t>a</w:t>
            </w:r>
            <w:r>
              <w:t xml:space="preserve">chieved.  </w:t>
            </w:r>
          </w:p>
        </w:tc>
        <w:tc>
          <w:tcPr>
            <w:tcW w:w="4378" w:type="dxa"/>
          </w:tcPr>
          <w:p w:rsidR="0001752B" w:rsidRPr="001571F6" w:rsidRDefault="0001752B" w:rsidP="000417E6">
            <w:pPr>
              <w:pStyle w:val="ListParagraph"/>
              <w:spacing w:before="120"/>
              <w:ind w:left="0"/>
              <w:contextualSpacing w:val="0"/>
            </w:pPr>
            <w:r>
              <w:t>Due to advocacy, more suspected cases are being tested.</w:t>
            </w:r>
            <w:r w:rsidR="002D327F">
              <w:t xml:space="preserve"> </w:t>
            </w:r>
            <w:r>
              <w:t>Test Before Treatment campaign ongoing.</w:t>
            </w:r>
          </w:p>
        </w:tc>
      </w:tr>
      <w:tr w:rsidR="00BC4450" w:rsidTr="005D21A8">
        <w:tc>
          <w:tcPr>
            <w:tcW w:w="1700" w:type="dxa"/>
          </w:tcPr>
          <w:p w:rsidR="00BC4450" w:rsidRPr="003C0FB3" w:rsidRDefault="00BC4450" w:rsidP="00BC4450">
            <w:pPr>
              <w:pStyle w:val="ListParagraph"/>
              <w:spacing w:before="120"/>
              <w:ind w:left="0"/>
              <w:contextualSpacing w:val="0"/>
              <w:rPr>
                <w:b/>
              </w:rPr>
            </w:pPr>
            <w:r w:rsidRPr="003C0FB3">
              <w:rPr>
                <w:b/>
              </w:rPr>
              <w:t>Coverage LLIN</w:t>
            </w:r>
          </w:p>
        </w:tc>
        <w:tc>
          <w:tcPr>
            <w:tcW w:w="2959" w:type="dxa"/>
          </w:tcPr>
          <w:p w:rsidR="00BC4450" w:rsidRDefault="0001752B" w:rsidP="00BC4450">
            <w:pPr>
              <w:pStyle w:val="ListParagraph"/>
              <w:spacing w:before="120"/>
              <w:ind w:left="0"/>
              <w:contextualSpacing w:val="0"/>
            </w:pPr>
            <w:r>
              <w:t>100% achieved</w:t>
            </w:r>
          </w:p>
          <w:p w:rsidR="001405F5" w:rsidRDefault="001405F5" w:rsidP="00BC4450">
            <w:pPr>
              <w:pStyle w:val="ListParagraph"/>
              <w:spacing w:before="120"/>
              <w:ind w:left="0"/>
              <w:contextualSpacing w:val="0"/>
            </w:pPr>
          </w:p>
        </w:tc>
        <w:tc>
          <w:tcPr>
            <w:tcW w:w="4378" w:type="dxa"/>
          </w:tcPr>
          <w:p w:rsidR="00BC4450" w:rsidRPr="001571F6" w:rsidRDefault="00BC4450" w:rsidP="00BC4450">
            <w:pPr>
              <w:pStyle w:val="ListParagraph"/>
              <w:spacing w:before="120"/>
              <w:ind w:left="0"/>
              <w:contextualSpacing w:val="0"/>
            </w:pPr>
          </w:p>
        </w:tc>
      </w:tr>
      <w:tr w:rsidR="00BC4450" w:rsidTr="005D21A8">
        <w:tc>
          <w:tcPr>
            <w:tcW w:w="1700" w:type="dxa"/>
          </w:tcPr>
          <w:p w:rsidR="00BC4450" w:rsidRPr="003C0FB3" w:rsidRDefault="00BC4450" w:rsidP="00BC4450">
            <w:pPr>
              <w:pStyle w:val="ListParagraph"/>
              <w:spacing w:before="120"/>
              <w:ind w:left="0"/>
              <w:contextualSpacing w:val="0"/>
              <w:rPr>
                <w:b/>
              </w:rPr>
            </w:pPr>
            <w:r w:rsidRPr="003C0FB3">
              <w:rPr>
                <w:b/>
              </w:rPr>
              <w:t># LLIN mass + continuous</w:t>
            </w:r>
          </w:p>
        </w:tc>
        <w:tc>
          <w:tcPr>
            <w:tcW w:w="2959" w:type="dxa"/>
          </w:tcPr>
          <w:p w:rsidR="00BC4450" w:rsidRDefault="00BC4450" w:rsidP="00BC4450">
            <w:pPr>
              <w:pStyle w:val="ListParagraph"/>
              <w:spacing w:before="120"/>
              <w:ind w:left="0"/>
              <w:contextualSpacing w:val="0"/>
            </w:pPr>
          </w:p>
        </w:tc>
        <w:tc>
          <w:tcPr>
            <w:tcW w:w="4378" w:type="dxa"/>
          </w:tcPr>
          <w:p w:rsidR="00BC4450" w:rsidRPr="001571F6" w:rsidRDefault="00BC4450" w:rsidP="00BC4450">
            <w:pPr>
              <w:pStyle w:val="ListParagraph"/>
              <w:spacing w:before="120"/>
              <w:ind w:left="0"/>
              <w:contextualSpacing w:val="0"/>
            </w:pPr>
          </w:p>
        </w:tc>
      </w:tr>
      <w:tr w:rsidR="00BC4450" w:rsidTr="005D21A8">
        <w:tc>
          <w:tcPr>
            <w:tcW w:w="1700" w:type="dxa"/>
          </w:tcPr>
          <w:p w:rsidR="00BC4450" w:rsidRPr="003C0FB3" w:rsidRDefault="00BC4450" w:rsidP="00BC4450">
            <w:pPr>
              <w:pStyle w:val="ListParagraph"/>
              <w:spacing w:before="120"/>
              <w:ind w:left="0"/>
              <w:contextualSpacing w:val="0"/>
              <w:rPr>
                <w:b/>
              </w:rPr>
            </w:pPr>
            <w:r w:rsidRPr="003C0FB3">
              <w:rPr>
                <w:b/>
              </w:rPr>
              <w:t>% 3+ doses of IPTp</w:t>
            </w:r>
          </w:p>
        </w:tc>
        <w:tc>
          <w:tcPr>
            <w:tcW w:w="2959" w:type="dxa"/>
          </w:tcPr>
          <w:p w:rsidR="00F1037C" w:rsidRPr="00F1037C" w:rsidRDefault="00F1037C" w:rsidP="00F1037C">
            <w:pPr>
              <w:rPr>
                <w:color w:val="000000" w:themeColor="text1"/>
              </w:rPr>
            </w:pPr>
            <w:r w:rsidRPr="00F1037C">
              <w:rPr>
                <w:color w:val="000000" w:themeColor="text1"/>
              </w:rPr>
              <w:t xml:space="preserve"> 65% commendable</w:t>
            </w:r>
          </w:p>
          <w:p w:rsidR="00BC4450" w:rsidRPr="001571F6" w:rsidRDefault="00BC4450" w:rsidP="00BC4450">
            <w:pPr>
              <w:pStyle w:val="ListParagraph"/>
              <w:spacing w:before="120"/>
              <w:ind w:left="0"/>
              <w:contextualSpacing w:val="0"/>
            </w:pPr>
          </w:p>
        </w:tc>
        <w:tc>
          <w:tcPr>
            <w:tcW w:w="4378" w:type="dxa"/>
          </w:tcPr>
          <w:p w:rsidR="0001752B" w:rsidRDefault="0001752B" w:rsidP="0001752B">
            <w:pPr>
              <w:pStyle w:val="ListParagraph"/>
              <w:spacing w:before="120"/>
              <w:ind w:left="0"/>
              <w:contextualSpacing w:val="0"/>
            </w:pPr>
            <w:r>
              <w:t xml:space="preserve">Project champion activity with specific people going to specific facilities to advocate for </w:t>
            </w:r>
            <w:r>
              <w:lastRenderedPageBreak/>
              <w:t>adherence of the P3 Policy.</w:t>
            </w:r>
          </w:p>
          <w:p w:rsidR="00BC4450" w:rsidRPr="001571F6" w:rsidRDefault="00BC4450" w:rsidP="00BC4450">
            <w:pPr>
              <w:pStyle w:val="ListParagraph"/>
              <w:spacing w:before="120"/>
              <w:ind w:left="0"/>
              <w:contextualSpacing w:val="0"/>
            </w:pPr>
          </w:p>
        </w:tc>
      </w:tr>
      <w:tr w:rsidR="00BC4450" w:rsidTr="005D21A8">
        <w:tc>
          <w:tcPr>
            <w:tcW w:w="1700" w:type="dxa"/>
          </w:tcPr>
          <w:p w:rsidR="00BC4450" w:rsidRPr="003C0FB3" w:rsidRDefault="00BC4450" w:rsidP="00BC4450">
            <w:pPr>
              <w:pStyle w:val="ListParagraph"/>
              <w:spacing w:before="120"/>
              <w:ind w:left="0"/>
              <w:contextualSpacing w:val="0"/>
              <w:rPr>
                <w:b/>
              </w:rPr>
            </w:pPr>
            <w:r>
              <w:rPr>
                <w:b/>
              </w:rPr>
              <w:lastRenderedPageBreak/>
              <w:t>% targeted risk group with ITN</w:t>
            </w:r>
          </w:p>
        </w:tc>
        <w:tc>
          <w:tcPr>
            <w:tcW w:w="2959" w:type="dxa"/>
          </w:tcPr>
          <w:p w:rsidR="00BC4450" w:rsidRDefault="0001752B" w:rsidP="00BC4450">
            <w:pPr>
              <w:pStyle w:val="ListParagraph"/>
              <w:spacing w:before="120"/>
              <w:ind w:left="0"/>
              <w:contextualSpacing w:val="0"/>
            </w:pPr>
            <w:r>
              <w:t>100%</w:t>
            </w:r>
          </w:p>
        </w:tc>
        <w:tc>
          <w:tcPr>
            <w:tcW w:w="4378" w:type="dxa"/>
          </w:tcPr>
          <w:p w:rsidR="00BC4450" w:rsidRPr="001571F6" w:rsidRDefault="00BC4450" w:rsidP="00BC4450">
            <w:pPr>
              <w:pStyle w:val="ListParagraph"/>
              <w:spacing w:before="120"/>
              <w:ind w:left="0"/>
              <w:contextualSpacing w:val="0"/>
            </w:pPr>
          </w:p>
        </w:tc>
      </w:tr>
      <w:tr w:rsidR="00BC4450" w:rsidTr="005D21A8">
        <w:tc>
          <w:tcPr>
            <w:tcW w:w="1700" w:type="dxa"/>
          </w:tcPr>
          <w:p w:rsidR="00BC4450" w:rsidRPr="003C0FB3" w:rsidRDefault="00BC4450" w:rsidP="00BC4450">
            <w:pPr>
              <w:pStyle w:val="ListParagraph"/>
              <w:spacing w:before="120"/>
              <w:ind w:left="0"/>
              <w:contextualSpacing w:val="0"/>
              <w:rPr>
                <w:b/>
              </w:rPr>
            </w:pPr>
            <w:r>
              <w:rPr>
                <w:b/>
              </w:rPr>
              <w:t>% ACTs among confirmed cases</w:t>
            </w:r>
          </w:p>
        </w:tc>
        <w:tc>
          <w:tcPr>
            <w:tcW w:w="2959" w:type="dxa"/>
          </w:tcPr>
          <w:p w:rsidR="00BC4450" w:rsidRDefault="00BC4450" w:rsidP="00BC4450">
            <w:pPr>
              <w:pStyle w:val="ListParagraph"/>
              <w:spacing w:before="120"/>
              <w:ind w:left="0"/>
              <w:contextualSpacing w:val="0"/>
            </w:pPr>
          </w:p>
        </w:tc>
        <w:tc>
          <w:tcPr>
            <w:tcW w:w="4378" w:type="dxa"/>
          </w:tcPr>
          <w:p w:rsidR="0001752B" w:rsidRPr="001571F6" w:rsidRDefault="0001752B" w:rsidP="00BC4450">
            <w:pPr>
              <w:pStyle w:val="ListParagraph"/>
              <w:spacing w:before="120"/>
              <w:ind w:left="0"/>
              <w:contextualSpacing w:val="0"/>
            </w:pPr>
            <w:r>
              <w:t>Private sector facilities – Captured in the DHIMS as well.</w:t>
            </w:r>
          </w:p>
        </w:tc>
      </w:tr>
    </w:tbl>
    <w:p w:rsidR="00582943" w:rsidRDefault="00582943" w:rsidP="00582943">
      <w:pPr>
        <w:pStyle w:val="ListParagraph"/>
        <w:spacing w:before="120" w:after="120"/>
        <w:ind w:left="360"/>
        <w:contextualSpacing w:val="0"/>
        <w:jc w:val="both"/>
        <w:rPr>
          <w:b/>
        </w:rPr>
      </w:pPr>
    </w:p>
    <w:p w:rsidR="00B67669" w:rsidRDefault="00B67669" w:rsidP="00172379">
      <w:pPr>
        <w:pStyle w:val="ListParagraph"/>
        <w:numPr>
          <w:ilvl w:val="0"/>
          <w:numId w:val="4"/>
        </w:numPr>
        <w:spacing w:before="120" w:after="120"/>
        <w:contextualSpacing w:val="0"/>
        <w:jc w:val="both"/>
        <w:rPr>
          <w:b/>
        </w:rPr>
      </w:pPr>
      <w:r w:rsidRPr="00B67669">
        <w:rPr>
          <w:b/>
        </w:rPr>
        <w:t xml:space="preserve">Challenges anticipated within the next six months: </w:t>
      </w:r>
    </w:p>
    <w:p w:rsidR="00582943" w:rsidRPr="00F1037C" w:rsidRDefault="00582943" w:rsidP="00582943">
      <w:pPr>
        <w:spacing w:before="120" w:after="120"/>
        <w:jc w:val="both"/>
      </w:pPr>
      <w:r w:rsidRPr="00F1037C">
        <w:t>None.</w:t>
      </w:r>
    </w:p>
    <w:p w:rsidR="00E955A7" w:rsidRDefault="00E360DF" w:rsidP="00172379">
      <w:pPr>
        <w:pStyle w:val="ListParagraph"/>
        <w:numPr>
          <w:ilvl w:val="0"/>
          <w:numId w:val="4"/>
        </w:numPr>
        <w:spacing w:before="120" w:after="120"/>
        <w:contextualSpacing w:val="0"/>
        <w:jc w:val="both"/>
      </w:pPr>
      <w:r>
        <w:rPr>
          <w:b/>
        </w:rPr>
        <w:t>Recommendations:</w:t>
      </w:r>
      <w:r w:rsidR="004E6666" w:rsidRPr="004E6666">
        <w:t>.</w:t>
      </w:r>
    </w:p>
    <w:p w:rsidR="009F1194" w:rsidRDefault="009F1194" w:rsidP="009F1194">
      <w:pPr>
        <w:pStyle w:val="ListParagraph"/>
        <w:numPr>
          <w:ilvl w:val="0"/>
          <w:numId w:val="17"/>
        </w:numPr>
        <w:spacing w:before="120" w:after="120"/>
        <w:jc w:val="both"/>
      </w:pPr>
      <w:r>
        <w:t xml:space="preserve">Need </w:t>
      </w:r>
      <w:r w:rsidR="00072FF8">
        <w:t>for</w:t>
      </w:r>
      <w:r>
        <w:t xml:space="preserve"> NMCP to improve burn rate.  Batch request proposed to ensure that when authorities travel it will not affect disbursement. </w:t>
      </w:r>
    </w:p>
    <w:p w:rsidR="009F1194" w:rsidRDefault="009F1194" w:rsidP="009F1194">
      <w:pPr>
        <w:pStyle w:val="ListParagraph"/>
        <w:numPr>
          <w:ilvl w:val="0"/>
          <w:numId w:val="17"/>
        </w:numPr>
        <w:spacing w:before="120" w:after="120"/>
        <w:jc w:val="both"/>
      </w:pPr>
      <w:r>
        <w:t xml:space="preserve">Remove price mark-up on ACTs to promote uptake. </w:t>
      </w:r>
    </w:p>
    <w:p w:rsidR="00E95808" w:rsidRDefault="0074328E" w:rsidP="00867F7B">
      <w:pPr>
        <w:pStyle w:val="ListParagraph"/>
        <w:numPr>
          <w:ilvl w:val="0"/>
          <w:numId w:val="17"/>
        </w:numPr>
        <w:spacing w:before="120" w:after="120"/>
        <w:jc w:val="both"/>
      </w:pPr>
      <w:r>
        <w:t>PPME should collaborate with CSO to determine management of CSO component of RSSH funds.</w:t>
      </w:r>
    </w:p>
    <w:p w:rsidR="0074328E" w:rsidRDefault="0074328E" w:rsidP="00867F7B">
      <w:pPr>
        <w:pStyle w:val="ListParagraph"/>
        <w:numPr>
          <w:ilvl w:val="0"/>
          <w:numId w:val="17"/>
        </w:numPr>
        <w:spacing w:before="120" w:after="120"/>
        <w:jc w:val="both"/>
      </w:pPr>
      <w:r>
        <w:t>NMCP should</w:t>
      </w:r>
      <w:r w:rsidR="009F1194">
        <w:t xml:space="preserve"> consider funding </w:t>
      </w:r>
      <w:r w:rsidR="005100DE">
        <w:t xml:space="preserve">NGOs </w:t>
      </w:r>
      <w:r>
        <w:t>through the Malaria Coalition.</w:t>
      </w:r>
    </w:p>
    <w:p w:rsidR="009F1194" w:rsidRDefault="009F1194" w:rsidP="00867F7B">
      <w:pPr>
        <w:pStyle w:val="ListParagraph"/>
        <w:numPr>
          <w:ilvl w:val="0"/>
          <w:numId w:val="17"/>
        </w:numPr>
        <w:spacing w:before="120" w:after="120"/>
        <w:jc w:val="both"/>
      </w:pPr>
      <w:r>
        <w:t>NMCP to provide longer term contract for NGOs (at least 1 year duration).</w:t>
      </w:r>
    </w:p>
    <w:p w:rsidR="009F1194" w:rsidRPr="009F1194" w:rsidRDefault="00072FF8" w:rsidP="009F1194">
      <w:pPr>
        <w:pStyle w:val="ListParagraph"/>
        <w:numPr>
          <w:ilvl w:val="0"/>
          <w:numId w:val="17"/>
        </w:numPr>
        <w:spacing w:before="120" w:after="120"/>
        <w:jc w:val="both"/>
      </w:pPr>
      <w:r>
        <w:t>Mechanisms for supply of c</w:t>
      </w:r>
      <w:r w:rsidR="009F1194">
        <w:t xml:space="preserve">ommodities to Prison </w:t>
      </w:r>
      <w:r>
        <w:t>in</w:t>
      </w:r>
      <w:r w:rsidR="009F1194">
        <w:t xml:space="preserve">firmaries should be </w:t>
      </w:r>
      <w:r w:rsidR="009F1194" w:rsidRPr="009F1194">
        <w:rPr>
          <w:color w:val="000000" w:themeColor="text1"/>
        </w:rPr>
        <w:t xml:space="preserve">handled at higher level, i.e.  D-G, GHS and Prisons High Command to put in place agreed mechanisms and communicate same </w:t>
      </w:r>
      <w:r>
        <w:rPr>
          <w:color w:val="000000" w:themeColor="text1"/>
        </w:rPr>
        <w:t xml:space="preserve">along the </w:t>
      </w:r>
      <w:r w:rsidR="009F1194" w:rsidRPr="009F1194">
        <w:rPr>
          <w:color w:val="000000" w:themeColor="text1"/>
        </w:rPr>
        <w:t xml:space="preserve">supply chain.    </w:t>
      </w:r>
    </w:p>
    <w:p w:rsidR="009F1194" w:rsidRPr="009F1194" w:rsidRDefault="009F1194" w:rsidP="009F1194">
      <w:pPr>
        <w:pStyle w:val="ListParagraph"/>
        <w:spacing w:before="120" w:after="120"/>
        <w:ind w:left="810"/>
        <w:jc w:val="both"/>
      </w:pPr>
    </w:p>
    <w:p w:rsidR="00F957F5" w:rsidRPr="00980F6F" w:rsidRDefault="00F957F5" w:rsidP="00172379">
      <w:pPr>
        <w:pStyle w:val="ListParagraph"/>
        <w:numPr>
          <w:ilvl w:val="0"/>
          <w:numId w:val="1"/>
        </w:numPr>
        <w:spacing w:before="240"/>
        <w:ind w:left="357" w:hanging="357"/>
        <w:contextualSpacing w:val="0"/>
        <w:jc w:val="both"/>
        <w:rPr>
          <w:b/>
          <w:sz w:val="24"/>
          <w:szCs w:val="24"/>
        </w:rPr>
      </w:pPr>
      <w:r w:rsidRPr="00980F6F">
        <w:rPr>
          <w:b/>
          <w:sz w:val="24"/>
          <w:szCs w:val="24"/>
        </w:rPr>
        <w:t>Closing</w:t>
      </w:r>
    </w:p>
    <w:p w:rsidR="00D96870" w:rsidRDefault="00F957F5" w:rsidP="00F957F5">
      <w:pPr>
        <w:jc w:val="both"/>
      </w:pPr>
      <w:r>
        <w:t>The meeting came to a close at about</w:t>
      </w:r>
      <w:r w:rsidR="00C52295">
        <w:t xml:space="preserve"> 1:30pm.</w:t>
      </w:r>
    </w:p>
    <w:p w:rsidR="00BF19E7" w:rsidRDefault="00BF19E7" w:rsidP="00F957F5">
      <w:pPr>
        <w:jc w:val="both"/>
      </w:pPr>
    </w:p>
    <w:sectPr w:rsidR="00BF19E7" w:rsidSect="00EA4117">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793" w:rsidRDefault="00084793" w:rsidP="007D2F92">
      <w:pPr>
        <w:spacing w:after="0" w:line="240" w:lineRule="auto"/>
      </w:pPr>
      <w:r>
        <w:separator/>
      </w:r>
    </w:p>
  </w:endnote>
  <w:endnote w:type="continuationSeparator" w:id="0">
    <w:p w:rsidR="00084793" w:rsidRDefault="00084793"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8729A1" w:rsidRDefault="000847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5674">
          <w:rPr>
            <w:noProof/>
          </w:rPr>
          <w:t>1</w:t>
        </w:r>
        <w:r>
          <w:rPr>
            <w:noProof/>
          </w:rPr>
          <w:fldChar w:fldCharType="end"/>
        </w:r>
        <w:r w:rsidR="008729A1">
          <w:t xml:space="preserve"> | </w:t>
        </w:r>
        <w:r w:rsidR="008729A1">
          <w:rPr>
            <w:color w:val="808080" w:themeColor="background1" w:themeShade="80"/>
            <w:spacing w:val="60"/>
          </w:rPr>
          <w:t>Page</w:t>
        </w:r>
      </w:p>
    </w:sdtContent>
  </w:sdt>
  <w:p w:rsidR="008729A1" w:rsidRDefault="00872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793" w:rsidRDefault="00084793" w:rsidP="007D2F92">
      <w:pPr>
        <w:spacing w:after="0" w:line="240" w:lineRule="auto"/>
      </w:pPr>
      <w:r>
        <w:separator/>
      </w:r>
    </w:p>
  </w:footnote>
  <w:footnote w:type="continuationSeparator" w:id="0">
    <w:p w:rsidR="00084793" w:rsidRDefault="00084793"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1806"/>
    <w:multiLevelType w:val="hybridMultilevel"/>
    <w:tmpl w:val="C7B4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3535"/>
    <w:multiLevelType w:val="hybridMultilevel"/>
    <w:tmpl w:val="CD52618E"/>
    <w:lvl w:ilvl="0" w:tplc="04090001">
      <w:start w:val="1"/>
      <w:numFmt w:val="bullet"/>
      <w:lvlText w:val=""/>
      <w:lvlJc w:val="left"/>
      <w:pPr>
        <w:ind w:left="717"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26F4284F"/>
    <w:multiLevelType w:val="hybridMultilevel"/>
    <w:tmpl w:val="523E8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17739"/>
    <w:multiLevelType w:val="hybridMultilevel"/>
    <w:tmpl w:val="3BD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70445"/>
    <w:multiLevelType w:val="hybridMultilevel"/>
    <w:tmpl w:val="F76E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67240"/>
    <w:multiLevelType w:val="hybridMultilevel"/>
    <w:tmpl w:val="D91209DC"/>
    <w:lvl w:ilvl="0" w:tplc="BACEE55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9808D3"/>
    <w:multiLevelType w:val="hybridMultilevel"/>
    <w:tmpl w:val="7B3C29FE"/>
    <w:lvl w:ilvl="0" w:tplc="FD286B08">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AA1BC4"/>
    <w:multiLevelType w:val="hybridMultilevel"/>
    <w:tmpl w:val="47167428"/>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8" w15:restartNumberingAfterBreak="0">
    <w:nsid w:val="5E9127D3"/>
    <w:multiLevelType w:val="hybridMultilevel"/>
    <w:tmpl w:val="E76E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272F0"/>
    <w:multiLevelType w:val="hybridMultilevel"/>
    <w:tmpl w:val="5DF881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AC0CE1"/>
    <w:multiLevelType w:val="hybridMultilevel"/>
    <w:tmpl w:val="9926D8D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76B83BD2"/>
    <w:multiLevelType w:val="hybridMultilevel"/>
    <w:tmpl w:val="71E8312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780B1B2E"/>
    <w:multiLevelType w:val="hybridMultilevel"/>
    <w:tmpl w:val="F7C85C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78E54B8B"/>
    <w:multiLevelType w:val="hybridMultilevel"/>
    <w:tmpl w:val="CFEA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3C0BD4"/>
    <w:multiLevelType w:val="hybridMultilevel"/>
    <w:tmpl w:val="E25C89B0"/>
    <w:lvl w:ilvl="0" w:tplc="04090001">
      <w:start w:val="1"/>
      <w:numFmt w:val="bullet"/>
      <w:lvlText w:val=""/>
      <w:lvlJc w:val="left"/>
      <w:pPr>
        <w:ind w:left="717" w:hanging="360"/>
      </w:pPr>
      <w:rPr>
        <w:rFonts w:ascii="Symbol" w:hAnsi="Symbol" w:hint="default"/>
      </w:rPr>
    </w:lvl>
    <w:lvl w:ilvl="1" w:tplc="04090001">
      <w:start w:val="1"/>
      <w:numFmt w:val="bullet"/>
      <w:lvlText w:val=""/>
      <w:lvlJc w:val="left"/>
      <w:pPr>
        <w:ind w:left="1437" w:hanging="360"/>
      </w:pPr>
      <w:rPr>
        <w:rFonts w:ascii="Symbol" w:hAnsi="Symbol"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5"/>
  </w:num>
  <w:num w:numId="2">
    <w:abstractNumId w:val="11"/>
  </w:num>
  <w:num w:numId="3">
    <w:abstractNumId w:val="10"/>
  </w:num>
  <w:num w:numId="4">
    <w:abstractNumId w:val="6"/>
  </w:num>
  <w:num w:numId="5">
    <w:abstractNumId w:val="1"/>
  </w:num>
  <w:num w:numId="6">
    <w:abstractNumId w:val="16"/>
  </w:num>
  <w:num w:numId="7">
    <w:abstractNumId w:val="12"/>
  </w:num>
  <w:num w:numId="8">
    <w:abstractNumId w:val="0"/>
  </w:num>
  <w:num w:numId="9">
    <w:abstractNumId w:val="7"/>
  </w:num>
  <w:num w:numId="10">
    <w:abstractNumId w:val="2"/>
  </w:num>
  <w:num w:numId="11">
    <w:abstractNumId w:val="14"/>
  </w:num>
  <w:num w:numId="12">
    <w:abstractNumId w:val="3"/>
  </w:num>
  <w:num w:numId="13">
    <w:abstractNumId w:val="4"/>
  </w:num>
  <w:num w:numId="14">
    <w:abstractNumId w:val="15"/>
  </w:num>
  <w:num w:numId="15">
    <w:abstractNumId w:val="9"/>
  </w:num>
  <w:num w:numId="16">
    <w:abstractNumId w:val="8"/>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7B74"/>
    <w:rsid w:val="0001151B"/>
    <w:rsid w:val="00015E00"/>
    <w:rsid w:val="00016119"/>
    <w:rsid w:val="0001752B"/>
    <w:rsid w:val="00022A9E"/>
    <w:rsid w:val="00027F91"/>
    <w:rsid w:val="00030B1C"/>
    <w:rsid w:val="00030F66"/>
    <w:rsid w:val="000328A6"/>
    <w:rsid w:val="000334EA"/>
    <w:rsid w:val="000335D7"/>
    <w:rsid w:val="00033D3D"/>
    <w:rsid w:val="000417E6"/>
    <w:rsid w:val="0004237F"/>
    <w:rsid w:val="00043AFF"/>
    <w:rsid w:val="00046F56"/>
    <w:rsid w:val="00051A5D"/>
    <w:rsid w:val="00052103"/>
    <w:rsid w:val="00052CD1"/>
    <w:rsid w:val="000567E9"/>
    <w:rsid w:val="000619B3"/>
    <w:rsid w:val="000624D6"/>
    <w:rsid w:val="00064741"/>
    <w:rsid w:val="00066C73"/>
    <w:rsid w:val="00071A00"/>
    <w:rsid w:val="00072DEC"/>
    <w:rsid w:val="00072FF8"/>
    <w:rsid w:val="00073890"/>
    <w:rsid w:val="00084793"/>
    <w:rsid w:val="00092FCF"/>
    <w:rsid w:val="00096710"/>
    <w:rsid w:val="000A45D3"/>
    <w:rsid w:val="000B4EF8"/>
    <w:rsid w:val="000C5AB2"/>
    <w:rsid w:val="000D212F"/>
    <w:rsid w:val="000D6A4C"/>
    <w:rsid w:val="000D7177"/>
    <w:rsid w:val="000E1410"/>
    <w:rsid w:val="000E205E"/>
    <w:rsid w:val="000E3E05"/>
    <w:rsid w:val="000F084A"/>
    <w:rsid w:val="000F2954"/>
    <w:rsid w:val="000F3954"/>
    <w:rsid w:val="00100ABC"/>
    <w:rsid w:val="00103A15"/>
    <w:rsid w:val="00104381"/>
    <w:rsid w:val="0010581D"/>
    <w:rsid w:val="001119CE"/>
    <w:rsid w:val="0011295E"/>
    <w:rsid w:val="0011345E"/>
    <w:rsid w:val="001137E2"/>
    <w:rsid w:val="00113872"/>
    <w:rsid w:val="0011782F"/>
    <w:rsid w:val="00120B73"/>
    <w:rsid w:val="00120E93"/>
    <w:rsid w:val="00121BA0"/>
    <w:rsid w:val="001235BF"/>
    <w:rsid w:val="00125657"/>
    <w:rsid w:val="001257C1"/>
    <w:rsid w:val="001308D1"/>
    <w:rsid w:val="00131B07"/>
    <w:rsid w:val="001354E2"/>
    <w:rsid w:val="00136320"/>
    <w:rsid w:val="001405EA"/>
    <w:rsid w:val="001405F5"/>
    <w:rsid w:val="00140C51"/>
    <w:rsid w:val="001410F1"/>
    <w:rsid w:val="00143759"/>
    <w:rsid w:val="0014456C"/>
    <w:rsid w:val="00144B79"/>
    <w:rsid w:val="00150307"/>
    <w:rsid w:val="0015382A"/>
    <w:rsid w:val="00155032"/>
    <w:rsid w:val="00155051"/>
    <w:rsid w:val="001571F6"/>
    <w:rsid w:val="0016085F"/>
    <w:rsid w:val="001616CE"/>
    <w:rsid w:val="0016384D"/>
    <w:rsid w:val="0016493C"/>
    <w:rsid w:val="001659FE"/>
    <w:rsid w:val="00167B82"/>
    <w:rsid w:val="001707AA"/>
    <w:rsid w:val="00172379"/>
    <w:rsid w:val="00172385"/>
    <w:rsid w:val="0017266D"/>
    <w:rsid w:val="00172978"/>
    <w:rsid w:val="0017300B"/>
    <w:rsid w:val="00173106"/>
    <w:rsid w:val="0017591D"/>
    <w:rsid w:val="0017760A"/>
    <w:rsid w:val="00183683"/>
    <w:rsid w:val="0018603A"/>
    <w:rsid w:val="00191AD2"/>
    <w:rsid w:val="001A1484"/>
    <w:rsid w:val="001A1590"/>
    <w:rsid w:val="001A2F3A"/>
    <w:rsid w:val="001A5C62"/>
    <w:rsid w:val="001B16C1"/>
    <w:rsid w:val="001B26C1"/>
    <w:rsid w:val="001B3329"/>
    <w:rsid w:val="001B6619"/>
    <w:rsid w:val="001C6EBF"/>
    <w:rsid w:val="001C70F8"/>
    <w:rsid w:val="001C7F03"/>
    <w:rsid w:val="001D386C"/>
    <w:rsid w:val="001D66FA"/>
    <w:rsid w:val="001D7D11"/>
    <w:rsid w:val="001E4CEE"/>
    <w:rsid w:val="001E6AC9"/>
    <w:rsid w:val="001F226D"/>
    <w:rsid w:val="001F64C6"/>
    <w:rsid w:val="001F7E5F"/>
    <w:rsid w:val="00202824"/>
    <w:rsid w:val="00204810"/>
    <w:rsid w:val="00207B72"/>
    <w:rsid w:val="00210FC5"/>
    <w:rsid w:val="00217A9B"/>
    <w:rsid w:val="00220737"/>
    <w:rsid w:val="0022536D"/>
    <w:rsid w:val="00226C88"/>
    <w:rsid w:val="00230DBB"/>
    <w:rsid w:val="0023515C"/>
    <w:rsid w:val="00235D4A"/>
    <w:rsid w:val="002425B3"/>
    <w:rsid w:val="00243403"/>
    <w:rsid w:val="00243C0F"/>
    <w:rsid w:val="00246328"/>
    <w:rsid w:val="00254E5A"/>
    <w:rsid w:val="0026074D"/>
    <w:rsid w:val="00260B12"/>
    <w:rsid w:val="00260D71"/>
    <w:rsid w:val="00261389"/>
    <w:rsid w:val="0026143C"/>
    <w:rsid w:val="002614DE"/>
    <w:rsid w:val="0026398B"/>
    <w:rsid w:val="00263992"/>
    <w:rsid w:val="00265594"/>
    <w:rsid w:val="002663FA"/>
    <w:rsid w:val="002742A0"/>
    <w:rsid w:val="0028266C"/>
    <w:rsid w:val="00296CDA"/>
    <w:rsid w:val="002A1E67"/>
    <w:rsid w:val="002A4A25"/>
    <w:rsid w:val="002A5DD9"/>
    <w:rsid w:val="002A6CB3"/>
    <w:rsid w:val="002B58B7"/>
    <w:rsid w:val="002B600D"/>
    <w:rsid w:val="002C1F2A"/>
    <w:rsid w:val="002C3657"/>
    <w:rsid w:val="002C4B55"/>
    <w:rsid w:val="002D2521"/>
    <w:rsid w:val="002D327F"/>
    <w:rsid w:val="002D462E"/>
    <w:rsid w:val="002D79D8"/>
    <w:rsid w:val="002E1F44"/>
    <w:rsid w:val="002E53D4"/>
    <w:rsid w:val="002F127A"/>
    <w:rsid w:val="002F4244"/>
    <w:rsid w:val="002F43A1"/>
    <w:rsid w:val="002F46E9"/>
    <w:rsid w:val="002F666E"/>
    <w:rsid w:val="003048A5"/>
    <w:rsid w:val="003169FD"/>
    <w:rsid w:val="00323767"/>
    <w:rsid w:val="00336704"/>
    <w:rsid w:val="00341992"/>
    <w:rsid w:val="0034613B"/>
    <w:rsid w:val="003515CA"/>
    <w:rsid w:val="003522E6"/>
    <w:rsid w:val="0035486F"/>
    <w:rsid w:val="00365626"/>
    <w:rsid w:val="00366F1B"/>
    <w:rsid w:val="003756BB"/>
    <w:rsid w:val="003757B6"/>
    <w:rsid w:val="00376B3A"/>
    <w:rsid w:val="00383205"/>
    <w:rsid w:val="003833DF"/>
    <w:rsid w:val="0038473F"/>
    <w:rsid w:val="003855BA"/>
    <w:rsid w:val="0038630F"/>
    <w:rsid w:val="00390660"/>
    <w:rsid w:val="00390D44"/>
    <w:rsid w:val="00392163"/>
    <w:rsid w:val="0039646F"/>
    <w:rsid w:val="003A0B6C"/>
    <w:rsid w:val="003A2966"/>
    <w:rsid w:val="003A5350"/>
    <w:rsid w:val="003A5E41"/>
    <w:rsid w:val="003B2030"/>
    <w:rsid w:val="003B20B8"/>
    <w:rsid w:val="003B4944"/>
    <w:rsid w:val="003B5604"/>
    <w:rsid w:val="003B58A3"/>
    <w:rsid w:val="003B5B1A"/>
    <w:rsid w:val="003C00AE"/>
    <w:rsid w:val="003C0FB3"/>
    <w:rsid w:val="003C3829"/>
    <w:rsid w:val="003C6BC3"/>
    <w:rsid w:val="003D30B4"/>
    <w:rsid w:val="003D464B"/>
    <w:rsid w:val="003D4A90"/>
    <w:rsid w:val="003D582F"/>
    <w:rsid w:val="003D62BE"/>
    <w:rsid w:val="003E0662"/>
    <w:rsid w:val="003E554C"/>
    <w:rsid w:val="003E56B4"/>
    <w:rsid w:val="003F043E"/>
    <w:rsid w:val="003F230A"/>
    <w:rsid w:val="003F27D4"/>
    <w:rsid w:val="003F404D"/>
    <w:rsid w:val="003F712E"/>
    <w:rsid w:val="00402588"/>
    <w:rsid w:val="00403A95"/>
    <w:rsid w:val="00407E6E"/>
    <w:rsid w:val="004102B0"/>
    <w:rsid w:val="004103D7"/>
    <w:rsid w:val="004116E9"/>
    <w:rsid w:val="0041176C"/>
    <w:rsid w:val="0041178B"/>
    <w:rsid w:val="00420E00"/>
    <w:rsid w:val="00420FAD"/>
    <w:rsid w:val="00421D97"/>
    <w:rsid w:val="00421F47"/>
    <w:rsid w:val="00425879"/>
    <w:rsid w:val="00430D64"/>
    <w:rsid w:val="004339B8"/>
    <w:rsid w:val="00435CE1"/>
    <w:rsid w:val="00437D5E"/>
    <w:rsid w:val="00437D61"/>
    <w:rsid w:val="004405F5"/>
    <w:rsid w:val="00440AFB"/>
    <w:rsid w:val="00442DF8"/>
    <w:rsid w:val="004450CE"/>
    <w:rsid w:val="00445BFD"/>
    <w:rsid w:val="00450013"/>
    <w:rsid w:val="0045012F"/>
    <w:rsid w:val="00450A82"/>
    <w:rsid w:val="00451E2B"/>
    <w:rsid w:val="00457244"/>
    <w:rsid w:val="00463ABD"/>
    <w:rsid w:val="00463D21"/>
    <w:rsid w:val="00464DBC"/>
    <w:rsid w:val="004678FE"/>
    <w:rsid w:val="00467A06"/>
    <w:rsid w:val="0047193D"/>
    <w:rsid w:val="0047227B"/>
    <w:rsid w:val="0048181D"/>
    <w:rsid w:val="004836F8"/>
    <w:rsid w:val="00486142"/>
    <w:rsid w:val="004867BF"/>
    <w:rsid w:val="00491380"/>
    <w:rsid w:val="00492396"/>
    <w:rsid w:val="0049419D"/>
    <w:rsid w:val="0049527B"/>
    <w:rsid w:val="004972C4"/>
    <w:rsid w:val="004A0128"/>
    <w:rsid w:val="004B70A6"/>
    <w:rsid w:val="004C1FD7"/>
    <w:rsid w:val="004C7046"/>
    <w:rsid w:val="004C77C0"/>
    <w:rsid w:val="004D0077"/>
    <w:rsid w:val="004D106B"/>
    <w:rsid w:val="004E1B11"/>
    <w:rsid w:val="004E6666"/>
    <w:rsid w:val="005033B8"/>
    <w:rsid w:val="0050600A"/>
    <w:rsid w:val="005100DE"/>
    <w:rsid w:val="00510223"/>
    <w:rsid w:val="00511756"/>
    <w:rsid w:val="00511B10"/>
    <w:rsid w:val="0051550D"/>
    <w:rsid w:val="00517F72"/>
    <w:rsid w:val="00521189"/>
    <w:rsid w:val="00521B60"/>
    <w:rsid w:val="005229E5"/>
    <w:rsid w:val="00523DD7"/>
    <w:rsid w:val="00523F77"/>
    <w:rsid w:val="005244F1"/>
    <w:rsid w:val="005246FD"/>
    <w:rsid w:val="00525BE3"/>
    <w:rsid w:val="00526FC4"/>
    <w:rsid w:val="0053774E"/>
    <w:rsid w:val="0054167A"/>
    <w:rsid w:val="0054786F"/>
    <w:rsid w:val="005479CB"/>
    <w:rsid w:val="00555530"/>
    <w:rsid w:val="005617EC"/>
    <w:rsid w:val="005643BB"/>
    <w:rsid w:val="005649AA"/>
    <w:rsid w:val="00564AEE"/>
    <w:rsid w:val="00566B2D"/>
    <w:rsid w:val="00572DA5"/>
    <w:rsid w:val="00575907"/>
    <w:rsid w:val="005769CB"/>
    <w:rsid w:val="005825EF"/>
    <w:rsid w:val="00582943"/>
    <w:rsid w:val="00582D57"/>
    <w:rsid w:val="00590761"/>
    <w:rsid w:val="00591C16"/>
    <w:rsid w:val="00591C2C"/>
    <w:rsid w:val="00592C01"/>
    <w:rsid w:val="005A1D43"/>
    <w:rsid w:val="005A6591"/>
    <w:rsid w:val="005B211D"/>
    <w:rsid w:val="005B429F"/>
    <w:rsid w:val="005B554D"/>
    <w:rsid w:val="005B63A5"/>
    <w:rsid w:val="005C179B"/>
    <w:rsid w:val="005C2E27"/>
    <w:rsid w:val="005C334E"/>
    <w:rsid w:val="005C4042"/>
    <w:rsid w:val="005D1F16"/>
    <w:rsid w:val="005D21A8"/>
    <w:rsid w:val="005D279B"/>
    <w:rsid w:val="005D4DD3"/>
    <w:rsid w:val="005E0007"/>
    <w:rsid w:val="005E3C41"/>
    <w:rsid w:val="005E412E"/>
    <w:rsid w:val="005E6ACB"/>
    <w:rsid w:val="005F1532"/>
    <w:rsid w:val="005F303E"/>
    <w:rsid w:val="006023C6"/>
    <w:rsid w:val="006066B4"/>
    <w:rsid w:val="006069BC"/>
    <w:rsid w:val="006109CB"/>
    <w:rsid w:val="00611535"/>
    <w:rsid w:val="006135D3"/>
    <w:rsid w:val="00614763"/>
    <w:rsid w:val="00615997"/>
    <w:rsid w:val="006226FB"/>
    <w:rsid w:val="00625B83"/>
    <w:rsid w:val="00630A28"/>
    <w:rsid w:val="00635F0B"/>
    <w:rsid w:val="00636214"/>
    <w:rsid w:val="00636589"/>
    <w:rsid w:val="00636F4C"/>
    <w:rsid w:val="00637850"/>
    <w:rsid w:val="00641277"/>
    <w:rsid w:val="00641878"/>
    <w:rsid w:val="006425DF"/>
    <w:rsid w:val="00643737"/>
    <w:rsid w:val="006517B6"/>
    <w:rsid w:val="00651FAC"/>
    <w:rsid w:val="0066016D"/>
    <w:rsid w:val="006607E2"/>
    <w:rsid w:val="006609AB"/>
    <w:rsid w:val="00664BA9"/>
    <w:rsid w:val="00664DAC"/>
    <w:rsid w:val="00667633"/>
    <w:rsid w:val="006717DB"/>
    <w:rsid w:val="00671C21"/>
    <w:rsid w:val="00675C99"/>
    <w:rsid w:val="00676A24"/>
    <w:rsid w:val="00677445"/>
    <w:rsid w:val="0068673A"/>
    <w:rsid w:val="00690C2C"/>
    <w:rsid w:val="00693B59"/>
    <w:rsid w:val="006965DE"/>
    <w:rsid w:val="006A650C"/>
    <w:rsid w:val="006B0876"/>
    <w:rsid w:val="006B5930"/>
    <w:rsid w:val="006C34C5"/>
    <w:rsid w:val="006C3A5F"/>
    <w:rsid w:val="006D3F00"/>
    <w:rsid w:val="006D5CB9"/>
    <w:rsid w:val="006D7435"/>
    <w:rsid w:val="006E24FB"/>
    <w:rsid w:val="006E519A"/>
    <w:rsid w:val="006F645C"/>
    <w:rsid w:val="00700E50"/>
    <w:rsid w:val="00704BF7"/>
    <w:rsid w:val="00705AB6"/>
    <w:rsid w:val="00705E14"/>
    <w:rsid w:val="00711928"/>
    <w:rsid w:val="00711AAD"/>
    <w:rsid w:val="00711FBB"/>
    <w:rsid w:val="00713AFB"/>
    <w:rsid w:val="00720DDD"/>
    <w:rsid w:val="0072104F"/>
    <w:rsid w:val="0072466C"/>
    <w:rsid w:val="00730184"/>
    <w:rsid w:val="00737161"/>
    <w:rsid w:val="00737420"/>
    <w:rsid w:val="007415F0"/>
    <w:rsid w:val="0074328E"/>
    <w:rsid w:val="007461FA"/>
    <w:rsid w:val="0075326F"/>
    <w:rsid w:val="00755673"/>
    <w:rsid w:val="0075598D"/>
    <w:rsid w:val="007621E7"/>
    <w:rsid w:val="007627A9"/>
    <w:rsid w:val="00765DB9"/>
    <w:rsid w:val="0077374D"/>
    <w:rsid w:val="00776342"/>
    <w:rsid w:val="0078164C"/>
    <w:rsid w:val="00781C2B"/>
    <w:rsid w:val="00786D6B"/>
    <w:rsid w:val="0078739C"/>
    <w:rsid w:val="00790333"/>
    <w:rsid w:val="007923FB"/>
    <w:rsid w:val="00794A7A"/>
    <w:rsid w:val="00797221"/>
    <w:rsid w:val="007B326F"/>
    <w:rsid w:val="007C7852"/>
    <w:rsid w:val="007D11AD"/>
    <w:rsid w:val="007D2F92"/>
    <w:rsid w:val="007D3D8F"/>
    <w:rsid w:val="007D4F87"/>
    <w:rsid w:val="007E0604"/>
    <w:rsid w:val="007E087F"/>
    <w:rsid w:val="007E3615"/>
    <w:rsid w:val="007E7F78"/>
    <w:rsid w:val="007F46F0"/>
    <w:rsid w:val="007F4E43"/>
    <w:rsid w:val="00801AEB"/>
    <w:rsid w:val="00805631"/>
    <w:rsid w:val="00805CE7"/>
    <w:rsid w:val="00807EA5"/>
    <w:rsid w:val="0081090E"/>
    <w:rsid w:val="008128FB"/>
    <w:rsid w:val="0081555A"/>
    <w:rsid w:val="00816078"/>
    <w:rsid w:val="008264B5"/>
    <w:rsid w:val="00827F97"/>
    <w:rsid w:val="008350BF"/>
    <w:rsid w:val="00843C8E"/>
    <w:rsid w:val="008448F4"/>
    <w:rsid w:val="00845D37"/>
    <w:rsid w:val="00855F27"/>
    <w:rsid w:val="00861A65"/>
    <w:rsid w:val="00864AAF"/>
    <w:rsid w:val="00865140"/>
    <w:rsid w:val="00867F7B"/>
    <w:rsid w:val="008729A1"/>
    <w:rsid w:val="00874212"/>
    <w:rsid w:val="0087518F"/>
    <w:rsid w:val="00876374"/>
    <w:rsid w:val="00880054"/>
    <w:rsid w:val="008802B3"/>
    <w:rsid w:val="008908A5"/>
    <w:rsid w:val="00897749"/>
    <w:rsid w:val="008A272D"/>
    <w:rsid w:val="008A275C"/>
    <w:rsid w:val="008A6347"/>
    <w:rsid w:val="008A67FC"/>
    <w:rsid w:val="008A7042"/>
    <w:rsid w:val="008C216F"/>
    <w:rsid w:val="008C2286"/>
    <w:rsid w:val="008C2816"/>
    <w:rsid w:val="008C283E"/>
    <w:rsid w:val="008C589B"/>
    <w:rsid w:val="008C5F37"/>
    <w:rsid w:val="008D3FCA"/>
    <w:rsid w:val="008E2376"/>
    <w:rsid w:val="008E737B"/>
    <w:rsid w:val="008E7702"/>
    <w:rsid w:val="008F7E60"/>
    <w:rsid w:val="00902058"/>
    <w:rsid w:val="00911C50"/>
    <w:rsid w:val="009123C6"/>
    <w:rsid w:val="00914524"/>
    <w:rsid w:val="009175D0"/>
    <w:rsid w:val="009179C6"/>
    <w:rsid w:val="009215F2"/>
    <w:rsid w:val="00921D9E"/>
    <w:rsid w:val="00922279"/>
    <w:rsid w:val="00922CFE"/>
    <w:rsid w:val="0092353F"/>
    <w:rsid w:val="0092379A"/>
    <w:rsid w:val="0092485A"/>
    <w:rsid w:val="009248FD"/>
    <w:rsid w:val="009415F2"/>
    <w:rsid w:val="00943026"/>
    <w:rsid w:val="009441D2"/>
    <w:rsid w:val="009502B9"/>
    <w:rsid w:val="009521DD"/>
    <w:rsid w:val="00961009"/>
    <w:rsid w:val="009774E2"/>
    <w:rsid w:val="00980F6F"/>
    <w:rsid w:val="00981BB0"/>
    <w:rsid w:val="00981DCC"/>
    <w:rsid w:val="009831AA"/>
    <w:rsid w:val="00984F3D"/>
    <w:rsid w:val="00985389"/>
    <w:rsid w:val="00985BC6"/>
    <w:rsid w:val="00995DE5"/>
    <w:rsid w:val="009A1E30"/>
    <w:rsid w:val="009A3869"/>
    <w:rsid w:val="009A415B"/>
    <w:rsid w:val="009A5352"/>
    <w:rsid w:val="009A66B5"/>
    <w:rsid w:val="009A7345"/>
    <w:rsid w:val="009B1D97"/>
    <w:rsid w:val="009B4DBC"/>
    <w:rsid w:val="009B4EAD"/>
    <w:rsid w:val="009B56D8"/>
    <w:rsid w:val="009B77F3"/>
    <w:rsid w:val="009D0673"/>
    <w:rsid w:val="009D16BD"/>
    <w:rsid w:val="009D5974"/>
    <w:rsid w:val="009D6A5A"/>
    <w:rsid w:val="009E0ACB"/>
    <w:rsid w:val="009E3D50"/>
    <w:rsid w:val="009E497A"/>
    <w:rsid w:val="009F1194"/>
    <w:rsid w:val="009F7B9A"/>
    <w:rsid w:val="00A01648"/>
    <w:rsid w:val="00A15382"/>
    <w:rsid w:val="00A15AFF"/>
    <w:rsid w:val="00A24793"/>
    <w:rsid w:val="00A26945"/>
    <w:rsid w:val="00A31CA5"/>
    <w:rsid w:val="00A323C9"/>
    <w:rsid w:val="00A35EC1"/>
    <w:rsid w:val="00A35F91"/>
    <w:rsid w:val="00A36069"/>
    <w:rsid w:val="00A414A7"/>
    <w:rsid w:val="00A42EDD"/>
    <w:rsid w:val="00A456BD"/>
    <w:rsid w:val="00A46068"/>
    <w:rsid w:val="00A47C50"/>
    <w:rsid w:val="00A506DC"/>
    <w:rsid w:val="00A51797"/>
    <w:rsid w:val="00A52653"/>
    <w:rsid w:val="00A52991"/>
    <w:rsid w:val="00A6029C"/>
    <w:rsid w:val="00A670CD"/>
    <w:rsid w:val="00A67FC0"/>
    <w:rsid w:val="00A712DB"/>
    <w:rsid w:val="00A7179C"/>
    <w:rsid w:val="00A84C17"/>
    <w:rsid w:val="00A85701"/>
    <w:rsid w:val="00A85773"/>
    <w:rsid w:val="00A874E8"/>
    <w:rsid w:val="00A90691"/>
    <w:rsid w:val="00A96449"/>
    <w:rsid w:val="00A974D4"/>
    <w:rsid w:val="00AA38D9"/>
    <w:rsid w:val="00AA7999"/>
    <w:rsid w:val="00AA7D4D"/>
    <w:rsid w:val="00AB2461"/>
    <w:rsid w:val="00AB4E29"/>
    <w:rsid w:val="00AB701C"/>
    <w:rsid w:val="00AC1AF9"/>
    <w:rsid w:val="00AC2915"/>
    <w:rsid w:val="00AC3B98"/>
    <w:rsid w:val="00AC7C01"/>
    <w:rsid w:val="00AD4D29"/>
    <w:rsid w:val="00AE238C"/>
    <w:rsid w:val="00AE2EE6"/>
    <w:rsid w:val="00AF2058"/>
    <w:rsid w:val="00AF2B92"/>
    <w:rsid w:val="00AF3B96"/>
    <w:rsid w:val="00B017A1"/>
    <w:rsid w:val="00B05674"/>
    <w:rsid w:val="00B0577C"/>
    <w:rsid w:val="00B1636C"/>
    <w:rsid w:val="00B17FC0"/>
    <w:rsid w:val="00B22F76"/>
    <w:rsid w:val="00B32CEF"/>
    <w:rsid w:val="00B353B5"/>
    <w:rsid w:val="00B4361F"/>
    <w:rsid w:val="00B5692E"/>
    <w:rsid w:val="00B62291"/>
    <w:rsid w:val="00B62BA8"/>
    <w:rsid w:val="00B67669"/>
    <w:rsid w:val="00B677DD"/>
    <w:rsid w:val="00B67870"/>
    <w:rsid w:val="00B72C5A"/>
    <w:rsid w:val="00B756BE"/>
    <w:rsid w:val="00B75D9F"/>
    <w:rsid w:val="00B83902"/>
    <w:rsid w:val="00B96F13"/>
    <w:rsid w:val="00B97D21"/>
    <w:rsid w:val="00BA6AC2"/>
    <w:rsid w:val="00BA7A2F"/>
    <w:rsid w:val="00BB393D"/>
    <w:rsid w:val="00BB4F89"/>
    <w:rsid w:val="00BB58C9"/>
    <w:rsid w:val="00BB5CAE"/>
    <w:rsid w:val="00BC1147"/>
    <w:rsid w:val="00BC197C"/>
    <w:rsid w:val="00BC41D7"/>
    <w:rsid w:val="00BC4450"/>
    <w:rsid w:val="00BC4961"/>
    <w:rsid w:val="00BC72CE"/>
    <w:rsid w:val="00BD178F"/>
    <w:rsid w:val="00BD2BB7"/>
    <w:rsid w:val="00BD4686"/>
    <w:rsid w:val="00BE174B"/>
    <w:rsid w:val="00BF19E7"/>
    <w:rsid w:val="00BF1B4A"/>
    <w:rsid w:val="00BF3C97"/>
    <w:rsid w:val="00C02ED7"/>
    <w:rsid w:val="00C1378D"/>
    <w:rsid w:val="00C139AD"/>
    <w:rsid w:val="00C1407A"/>
    <w:rsid w:val="00C141A5"/>
    <w:rsid w:val="00C1575A"/>
    <w:rsid w:val="00C20F4E"/>
    <w:rsid w:val="00C22A24"/>
    <w:rsid w:val="00C2686F"/>
    <w:rsid w:val="00C26A95"/>
    <w:rsid w:val="00C3081A"/>
    <w:rsid w:val="00C32562"/>
    <w:rsid w:val="00C371AD"/>
    <w:rsid w:val="00C41A70"/>
    <w:rsid w:val="00C43A4E"/>
    <w:rsid w:val="00C43FB5"/>
    <w:rsid w:val="00C51840"/>
    <w:rsid w:val="00C52295"/>
    <w:rsid w:val="00C61667"/>
    <w:rsid w:val="00C62ECF"/>
    <w:rsid w:val="00C712E7"/>
    <w:rsid w:val="00C72CBC"/>
    <w:rsid w:val="00C73697"/>
    <w:rsid w:val="00C75836"/>
    <w:rsid w:val="00C801B1"/>
    <w:rsid w:val="00C82298"/>
    <w:rsid w:val="00C84A49"/>
    <w:rsid w:val="00C953C9"/>
    <w:rsid w:val="00C95D21"/>
    <w:rsid w:val="00CA0F76"/>
    <w:rsid w:val="00CA208F"/>
    <w:rsid w:val="00CA2BBE"/>
    <w:rsid w:val="00CA7AA9"/>
    <w:rsid w:val="00CB0D39"/>
    <w:rsid w:val="00CB50BE"/>
    <w:rsid w:val="00CB5D8E"/>
    <w:rsid w:val="00CC1148"/>
    <w:rsid w:val="00CC29C0"/>
    <w:rsid w:val="00CC3CAF"/>
    <w:rsid w:val="00CC3D3A"/>
    <w:rsid w:val="00CD1EFF"/>
    <w:rsid w:val="00CD2BD4"/>
    <w:rsid w:val="00CD657B"/>
    <w:rsid w:val="00CD7181"/>
    <w:rsid w:val="00CD78AD"/>
    <w:rsid w:val="00CE3F96"/>
    <w:rsid w:val="00CE53EB"/>
    <w:rsid w:val="00CE6F4A"/>
    <w:rsid w:val="00CE7653"/>
    <w:rsid w:val="00CF028F"/>
    <w:rsid w:val="00CF1724"/>
    <w:rsid w:val="00CF54E1"/>
    <w:rsid w:val="00D00315"/>
    <w:rsid w:val="00D034C2"/>
    <w:rsid w:val="00D04562"/>
    <w:rsid w:val="00D10B10"/>
    <w:rsid w:val="00D12168"/>
    <w:rsid w:val="00D137DA"/>
    <w:rsid w:val="00D13906"/>
    <w:rsid w:val="00D15348"/>
    <w:rsid w:val="00D276B3"/>
    <w:rsid w:val="00D306A8"/>
    <w:rsid w:val="00D3157F"/>
    <w:rsid w:val="00D3649E"/>
    <w:rsid w:val="00D443CC"/>
    <w:rsid w:val="00D44D8B"/>
    <w:rsid w:val="00D4503B"/>
    <w:rsid w:val="00D47135"/>
    <w:rsid w:val="00D471E6"/>
    <w:rsid w:val="00D50D90"/>
    <w:rsid w:val="00D51BE1"/>
    <w:rsid w:val="00D52C2C"/>
    <w:rsid w:val="00D5407D"/>
    <w:rsid w:val="00D54E36"/>
    <w:rsid w:val="00D60363"/>
    <w:rsid w:val="00D60D62"/>
    <w:rsid w:val="00D66B23"/>
    <w:rsid w:val="00D71077"/>
    <w:rsid w:val="00D746D9"/>
    <w:rsid w:val="00D822EB"/>
    <w:rsid w:val="00D84A6F"/>
    <w:rsid w:val="00D85CAC"/>
    <w:rsid w:val="00D907E9"/>
    <w:rsid w:val="00D91A4D"/>
    <w:rsid w:val="00D93D8A"/>
    <w:rsid w:val="00D95407"/>
    <w:rsid w:val="00D96783"/>
    <w:rsid w:val="00D96870"/>
    <w:rsid w:val="00D97F40"/>
    <w:rsid w:val="00DA23C0"/>
    <w:rsid w:val="00DA3CCB"/>
    <w:rsid w:val="00DB21F6"/>
    <w:rsid w:val="00DB5100"/>
    <w:rsid w:val="00DC5306"/>
    <w:rsid w:val="00DC56AB"/>
    <w:rsid w:val="00DD716E"/>
    <w:rsid w:val="00DE3C19"/>
    <w:rsid w:val="00DE6531"/>
    <w:rsid w:val="00DF1D48"/>
    <w:rsid w:val="00DF26EE"/>
    <w:rsid w:val="00DF2AB5"/>
    <w:rsid w:val="00DF4E42"/>
    <w:rsid w:val="00DF5F3F"/>
    <w:rsid w:val="00DF6C3D"/>
    <w:rsid w:val="00E04B1B"/>
    <w:rsid w:val="00E071B3"/>
    <w:rsid w:val="00E134CB"/>
    <w:rsid w:val="00E17B31"/>
    <w:rsid w:val="00E21894"/>
    <w:rsid w:val="00E24B4F"/>
    <w:rsid w:val="00E274DD"/>
    <w:rsid w:val="00E27978"/>
    <w:rsid w:val="00E32E73"/>
    <w:rsid w:val="00E355D8"/>
    <w:rsid w:val="00E360DF"/>
    <w:rsid w:val="00E36EA5"/>
    <w:rsid w:val="00E41290"/>
    <w:rsid w:val="00E51269"/>
    <w:rsid w:val="00E54157"/>
    <w:rsid w:val="00E6262F"/>
    <w:rsid w:val="00E712BC"/>
    <w:rsid w:val="00E71853"/>
    <w:rsid w:val="00E71A91"/>
    <w:rsid w:val="00E72741"/>
    <w:rsid w:val="00E7746A"/>
    <w:rsid w:val="00E80CD3"/>
    <w:rsid w:val="00E819F1"/>
    <w:rsid w:val="00E8651A"/>
    <w:rsid w:val="00E86758"/>
    <w:rsid w:val="00E87378"/>
    <w:rsid w:val="00E87B8D"/>
    <w:rsid w:val="00E92921"/>
    <w:rsid w:val="00E95531"/>
    <w:rsid w:val="00E955A7"/>
    <w:rsid w:val="00E95808"/>
    <w:rsid w:val="00EA02DF"/>
    <w:rsid w:val="00EA2F8C"/>
    <w:rsid w:val="00EA34AA"/>
    <w:rsid w:val="00EA4117"/>
    <w:rsid w:val="00EB2119"/>
    <w:rsid w:val="00EB2164"/>
    <w:rsid w:val="00EB2FE7"/>
    <w:rsid w:val="00EB44EA"/>
    <w:rsid w:val="00EB585C"/>
    <w:rsid w:val="00EC163A"/>
    <w:rsid w:val="00EC1936"/>
    <w:rsid w:val="00EC2CB3"/>
    <w:rsid w:val="00ED227B"/>
    <w:rsid w:val="00ED65D2"/>
    <w:rsid w:val="00EE595F"/>
    <w:rsid w:val="00EF313D"/>
    <w:rsid w:val="00EF411F"/>
    <w:rsid w:val="00EF7C50"/>
    <w:rsid w:val="00F00424"/>
    <w:rsid w:val="00F00962"/>
    <w:rsid w:val="00F01B5C"/>
    <w:rsid w:val="00F0456D"/>
    <w:rsid w:val="00F04576"/>
    <w:rsid w:val="00F1000E"/>
    <w:rsid w:val="00F1037C"/>
    <w:rsid w:val="00F14E90"/>
    <w:rsid w:val="00F15C23"/>
    <w:rsid w:val="00F202AC"/>
    <w:rsid w:val="00F21E37"/>
    <w:rsid w:val="00F250FF"/>
    <w:rsid w:val="00F27CF2"/>
    <w:rsid w:val="00F3406A"/>
    <w:rsid w:val="00F34A87"/>
    <w:rsid w:val="00F43421"/>
    <w:rsid w:val="00F44C73"/>
    <w:rsid w:val="00F46F53"/>
    <w:rsid w:val="00F50173"/>
    <w:rsid w:val="00F536B1"/>
    <w:rsid w:val="00F55C47"/>
    <w:rsid w:val="00F56913"/>
    <w:rsid w:val="00F627E7"/>
    <w:rsid w:val="00F64BCF"/>
    <w:rsid w:val="00F665A4"/>
    <w:rsid w:val="00F67B0C"/>
    <w:rsid w:val="00F7347D"/>
    <w:rsid w:val="00F77555"/>
    <w:rsid w:val="00F80656"/>
    <w:rsid w:val="00F83607"/>
    <w:rsid w:val="00F84C7F"/>
    <w:rsid w:val="00F86DF7"/>
    <w:rsid w:val="00F91C3F"/>
    <w:rsid w:val="00F931C5"/>
    <w:rsid w:val="00F94CDD"/>
    <w:rsid w:val="00F957F5"/>
    <w:rsid w:val="00FA2F4C"/>
    <w:rsid w:val="00FB11A3"/>
    <w:rsid w:val="00FB14C0"/>
    <w:rsid w:val="00FB5860"/>
    <w:rsid w:val="00FB5D0B"/>
    <w:rsid w:val="00FD1547"/>
    <w:rsid w:val="00FD2734"/>
    <w:rsid w:val="00FE0736"/>
    <w:rsid w:val="00FE478C"/>
    <w:rsid w:val="00FE5102"/>
    <w:rsid w:val="00FF13AA"/>
    <w:rsid w:val="00FF2552"/>
    <w:rsid w:val="00FF5F89"/>
    <w:rsid w:val="00FF6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1C422-9CC3-402B-9F62-DE843912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 w:type="character" w:styleId="CommentReference">
    <w:name w:val="annotation reference"/>
    <w:basedOn w:val="DefaultParagraphFont"/>
    <w:uiPriority w:val="99"/>
    <w:semiHidden/>
    <w:unhideWhenUsed/>
    <w:rsid w:val="003D4A90"/>
    <w:rPr>
      <w:sz w:val="16"/>
      <w:szCs w:val="16"/>
    </w:rPr>
  </w:style>
  <w:style w:type="paragraph" w:styleId="CommentText">
    <w:name w:val="annotation text"/>
    <w:basedOn w:val="Normal"/>
    <w:link w:val="CommentTextChar"/>
    <w:uiPriority w:val="99"/>
    <w:semiHidden/>
    <w:unhideWhenUsed/>
    <w:rsid w:val="003D4A90"/>
    <w:pPr>
      <w:spacing w:line="240" w:lineRule="auto"/>
    </w:pPr>
    <w:rPr>
      <w:sz w:val="20"/>
      <w:szCs w:val="20"/>
    </w:rPr>
  </w:style>
  <w:style w:type="character" w:customStyle="1" w:styleId="CommentTextChar">
    <w:name w:val="Comment Text Char"/>
    <w:basedOn w:val="DefaultParagraphFont"/>
    <w:link w:val="CommentText"/>
    <w:uiPriority w:val="99"/>
    <w:semiHidden/>
    <w:rsid w:val="003D4A90"/>
    <w:rPr>
      <w:sz w:val="20"/>
      <w:szCs w:val="20"/>
    </w:rPr>
  </w:style>
  <w:style w:type="paragraph" w:styleId="CommentSubject">
    <w:name w:val="annotation subject"/>
    <w:basedOn w:val="CommentText"/>
    <w:next w:val="CommentText"/>
    <w:link w:val="CommentSubjectChar"/>
    <w:uiPriority w:val="99"/>
    <w:semiHidden/>
    <w:unhideWhenUsed/>
    <w:rsid w:val="003D4A90"/>
    <w:rPr>
      <w:b/>
      <w:bCs/>
    </w:rPr>
  </w:style>
  <w:style w:type="character" w:customStyle="1" w:styleId="CommentSubjectChar">
    <w:name w:val="Comment Subject Char"/>
    <w:basedOn w:val="CommentTextChar"/>
    <w:link w:val="CommentSubject"/>
    <w:uiPriority w:val="99"/>
    <w:semiHidden/>
    <w:rsid w:val="003D4A90"/>
    <w:rPr>
      <w:b/>
      <w:bCs/>
      <w:sz w:val="20"/>
      <w:szCs w:val="20"/>
    </w:rPr>
  </w:style>
  <w:style w:type="paragraph" w:styleId="NoSpacing">
    <w:name w:val="No Spacing"/>
    <w:uiPriority w:val="1"/>
    <w:qFormat/>
    <w:rsid w:val="00BF1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4171">
      <w:bodyDiv w:val="1"/>
      <w:marLeft w:val="0"/>
      <w:marRight w:val="0"/>
      <w:marTop w:val="0"/>
      <w:marBottom w:val="0"/>
      <w:divBdr>
        <w:top w:val="none" w:sz="0" w:space="0" w:color="auto"/>
        <w:left w:val="none" w:sz="0" w:space="0" w:color="auto"/>
        <w:bottom w:val="none" w:sz="0" w:space="0" w:color="auto"/>
        <w:right w:val="none" w:sz="0" w:space="0" w:color="auto"/>
      </w:divBdr>
    </w:div>
    <w:div w:id="495609475">
      <w:bodyDiv w:val="1"/>
      <w:marLeft w:val="0"/>
      <w:marRight w:val="0"/>
      <w:marTop w:val="0"/>
      <w:marBottom w:val="0"/>
      <w:divBdr>
        <w:top w:val="none" w:sz="0" w:space="0" w:color="auto"/>
        <w:left w:val="none" w:sz="0" w:space="0" w:color="auto"/>
        <w:bottom w:val="none" w:sz="0" w:space="0" w:color="auto"/>
        <w:right w:val="none" w:sz="0" w:space="0" w:color="auto"/>
      </w:divBdr>
    </w:div>
    <w:div w:id="699663858">
      <w:bodyDiv w:val="1"/>
      <w:marLeft w:val="0"/>
      <w:marRight w:val="0"/>
      <w:marTop w:val="0"/>
      <w:marBottom w:val="0"/>
      <w:divBdr>
        <w:top w:val="none" w:sz="0" w:space="0" w:color="auto"/>
        <w:left w:val="none" w:sz="0" w:space="0" w:color="auto"/>
        <w:bottom w:val="none" w:sz="0" w:space="0" w:color="auto"/>
        <w:right w:val="none" w:sz="0" w:space="0" w:color="auto"/>
      </w:divBdr>
    </w:div>
    <w:div w:id="842819774">
      <w:bodyDiv w:val="1"/>
      <w:marLeft w:val="0"/>
      <w:marRight w:val="0"/>
      <w:marTop w:val="0"/>
      <w:marBottom w:val="0"/>
      <w:divBdr>
        <w:top w:val="none" w:sz="0" w:space="0" w:color="auto"/>
        <w:left w:val="none" w:sz="0" w:space="0" w:color="auto"/>
        <w:bottom w:val="none" w:sz="0" w:space="0" w:color="auto"/>
        <w:right w:val="none" w:sz="0" w:space="0" w:color="auto"/>
      </w:divBdr>
    </w:div>
    <w:div w:id="916479215">
      <w:bodyDiv w:val="1"/>
      <w:marLeft w:val="0"/>
      <w:marRight w:val="0"/>
      <w:marTop w:val="0"/>
      <w:marBottom w:val="0"/>
      <w:divBdr>
        <w:top w:val="none" w:sz="0" w:space="0" w:color="auto"/>
        <w:left w:val="none" w:sz="0" w:space="0" w:color="auto"/>
        <w:bottom w:val="none" w:sz="0" w:space="0" w:color="auto"/>
        <w:right w:val="none" w:sz="0" w:space="0" w:color="auto"/>
      </w:divBdr>
      <w:divsChild>
        <w:div w:id="1604845796">
          <w:marLeft w:val="1166"/>
          <w:marRight w:val="0"/>
          <w:marTop w:val="72"/>
          <w:marBottom w:val="0"/>
          <w:divBdr>
            <w:top w:val="none" w:sz="0" w:space="0" w:color="auto"/>
            <w:left w:val="none" w:sz="0" w:space="0" w:color="auto"/>
            <w:bottom w:val="none" w:sz="0" w:space="0" w:color="auto"/>
            <w:right w:val="none" w:sz="0" w:space="0" w:color="auto"/>
          </w:divBdr>
        </w:div>
      </w:divsChild>
    </w:div>
    <w:div w:id="935868569">
      <w:bodyDiv w:val="1"/>
      <w:marLeft w:val="0"/>
      <w:marRight w:val="0"/>
      <w:marTop w:val="0"/>
      <w:marBottom w:val="0"/>
      <w:divBdr>
        <w:top w:val="none" w:sz="0" w:space="0" w:color="auto"/>
        <w:left w:val="none" w:sz="0" w:space="0" w:color="auto"/>
        <w:bottom w:val="none" w:sz="0" w:space="0" w:color="auto"/>
        <w:right w:val="none" w:sz="0" w:space="0" w:color="auto"/>
      </w:divBdr>
    </w:div>
    <w:div w:id="1008488714">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304650940">
      <w:bodyDiv w:val="1"/>
      <w:marLeft w:val="0"/>
      <w:marRight w:val="0"/>
      <w:marTop w:val="0"/>
      <w:marBottom w:val="0"/>
      <w:divBdr>
        <w:top w:val="none" w:sz="0" w:space="0" w:color="auto"/>
        <w:left w:val="none" w:sz="0" w:space="0" w:color="auto"/>
        <w:bottom w:val="none" w:sz="0" w:space="0" w:color="auto"/>
        <w:right w:val="none" w:sz="0" w:space="0" w:color="auto"/>
      </w:divBdr>
    </w:div>
    <w:div w:id="1325936892">
      <w:bodyDiv w:val="1"/>
      <w:marLeft w:val="0"/>
      <w:marRight w:val="0"/>
      <w:marTop w:val="0"/>
      <w:marBottom w:val="0"/>
      <w:divBdr>
        <w:top w:val="none" w:sz="0" w:space="0" w:color="auto"/>
        <w:left w:val="none" w:sz="0" w:space="0" w:color="auto"/>
        <w:bottom w:val="none" w:sz="0" w:space="0" w:color="auto"/>
        <w:right w:val="none" w:sz="0" w:space="0" w:color="auto"/>
      </w:divBdr>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616014258">
      <w:bodyDiv w:val="1"/>
      <w:marLeft w:val="0"/>
      <w:marRight w:val="0"/>
      <w:marTop w:val="0"/>
      <w:marBottom w:val="0"/>
      <w:divBdr>
        <w:top w:val="none" w:sz="0" w:space="0" w:color="auto"/>
        <w:left w:val="none" w:sz="0" w:space="0" w:color="auto"/>
        <w:bottom w:val="none" w:sz="0" w:space="0" w:color="auto"/>
        <w:right w:val="none" w:sz="0" w:space="0" w:color="auto"/>
      </w:divBdr>
    </w:div>
    <w:div w:id="1616869240">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 w:id="18822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BB26-71D4-4F57-9FD0-FF079544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2</cp:revision>
  <cp:lastPrinted>2017-08-23T13:58:00Z</cp:lastPrinted>
  <dcterms:created xsi:type="dcterms:W3CDTF">2017-09-04T15:33:00Z</dcterms:created>
  <dcterms:modified xsi:type="dcterms:W3CDTF">2017-09-04T15:33:00Z</dcterms:modified>
</cp:coreProperties>
</file>