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C4" w:rsidRPr="00641E91" w:rsidRDefault="00526FC4" w:rsidP="00526FC4">
      <w:pPr>
        <w:jc w:val="center"/>
        <w:rPr>
          <w:b/>
          <w:sz w:val="28"/>
          <w:szCs w:val="28"/>
        </w:rPr>
      </w:pPr>
      <w:r w:rsidRPr="00641E91">
        <w:rPr>
          <w:b/>
          <w:sz w:val="28"/>
          <w:szCs w:val="28"/>
        </w:rPr>
        <w:t xml:space="preserve">MINUTES OF </w:t>
      </w:r>
      <w:r w:rsidR="007627A9">
        <w:rPr>
          <w:b/>
          <w:sz w:val="28"/>
          <w:szCs w:val="28"/>
        </w:rPr>
        <w:t>MALARIA</w:t>
      </w:r>
      <w:r w:rsidRPr="00641E91">
        <w:rPr>
          <w:b/>
          <w:sz w:val="28"/>
          <w:szCs w:val="28"/>
        </w:rPr>
        <w:t xml:space="preserve"> DASH BOARDS REVIEW MEETING</w:t>
      </w:r>
    </w:p>
    <w:p w:rsidR="00526FC4" w:rsidRPr="00641E91" w:rsidRDefault="008A272D" w:rsidP="00526FC4">
      <w:pPr>
        <w:jc w:val="center"/>
        <w:rPr>
          <w:b/>
        </w:rPr>
      </w:pPr>
      <w:r>
        <w:rPr>
          <w:b/>
        </w:rPr>
        <w:t>August 24</w:t>
      </w:r>
      <w:r w:rsidR="003048A5">
        <w:rPr>
          <w:b/>
        </w:rPr>
        <w:t>th</w:t>
      </w:r>
      <w:r w:rsidR="00226C88">
        <w:rPr>
          <w:b/>
        </w:rPr>
        <w:t>, 201</w:t>
      </w:r>
      <w:r w:rsidR="00995DE5">
        <w:rPr>
          <w:b/>
        </w:rPr>
        <w:t>7</w:t>
      </w:r>
      <w:r w:rsidR="00F27B71">
        <w:rPr>
          <w:b/>
        </w:rPr>
        <w:t xml:space="preserve"> </w:t>
      </w:r>
      <w:r w:rsidR="00526FC4">
        <w:rPr>
          <w:b/>
        </w:rPr>
        <w:t xml:space="preserve">at </w:t>
      </w:r>
      <w:r w:rsidR="00226C88">
        <w:rPr>
          <w:b/>
        </w:rPr>
        <w:t>the CCM Secretariat</w:t>
      </w:r>
    </w:p>
    <w:p w:rsidR="00066C73" w:rsidRPr="00D96870" w:rsidRDefault="00B5692E" w:rsidP="007D2F92">
      <w:pPr>
        <w:jc w:val="both"/>
        <w:rPr>
          <w:b/>
        </w:rPr>
      </w:pPr>
      <w:r w:rsidRPr="00D96870">
        <w:rPr>
          <w:b/>
        </w:rPr>
        <w:t>A</w:t>
      </w:r>
      <w:r w:rsidR="00526FC4">
        <w:rPr>
          <w:b/>
        </w:rPr>
        <w:t>ttendance</w:t>
      </w:r>
      <w:r w:rsidRPr="00D96870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368"/>
        <w:gridCol w:w="2797"/>
        <w:gridCol w:w="2345"/>
      </w:tblGrid>
      <w:tr w:rsidR="00066C73" w:rsidTr="00B62BA8">
        <w:tc>
          <w:tcPr>
            <w:tcW w:w="648" w:type="dxa"/>
          </w:tcPr>
          <w:p w:rsidR="00066C73" w:rsidRPr="007B326F" w:rsidRDefault="00FB5D0B" w:rsidP="007D2F92">
            <w:pPr>
              <w:jc w:val="both"/>
              <w:rPr>
                <w:b/>
              </w:rPr>
            </w:pPr>
            <w:r w:rsidRPr="007B326F">
              <w:rPr>
                <w:b/>
              </w:rPr>
              <w:t xml:space="preserve">No. </w:t>
            </w:r>
          </w:p>
        </w:tc>
        <w:tc>
          <w:tcPr>
            <w:tcW w:w="3368" w:type="dxa"/>
          </w:tcPr>
          <w:p w:rsidR="00066C73" w:rsidRPr="007B326F" w:rsidRDefault="00FB5D0B" w:rsidP="007D2F92">
            <w:pPr>
              <w:jc w:val="both"/>
              <w:rPr>
                <w:b/>
              </w:rPr>
            </w:pPr>
            <w:r w:rsidRPr="007B326F">
              <w:rPr>
                <w:b/>
              </w:rPr>
              <w:t>Name</w:t>
            </w:r>
          </w:p>
        </w:tc>
        <w:tc>
          <w:tcPr>
            <w:tcW w:w="2797" w:type="dxa"/>
          </w:tcPr>
          <w:p w:rsidR="00066C73" w:rsidRPr="007B326F" w:rsidRDefault="00183683" w:rsidP="007D2F92">
            <w:pPr>
              <w:jc w:val="both"/>
              <w:rPr>
                <w:b/>
              </w:rPr>
            </w:pPr>
            <w:r w:rsidRPr="007B326F">
              <w:rPr>
                <w:b/>
              </w:rPr>
              <w:t>Organization</w:t>
            </w:r>
          </w:p>
        </w:tc>
        <w:tc>
          <w:tcPr>
            <w:tcW w:w="2345" w:type="dxa"/>
          </w:tcPr>
          <w:p w:rsidR="00066C73" w:rsidRPr="007B326F" w:rsidRDefault="00183683" w:rsidP="007D2F92">
            <w:pPr>
              <w:jc w:val="both"/>
              <w:rPr>
                <w:b/>
              </w:rPr>
            </w:pPr>
            <w:r w:rsidRPr="007B326F">
              <w:rPr>
                <w:b/>
              </w:rPr>
              <w:t>Sector</w:t>
            </w:r>
          </w:p>
        </w:tc>
      </w:tr>
      <w:tr w:rsidR="009A0502" w:rsidRPr="00C159BB" w:rsidTr="00B62BA8"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1</w:t>
            </w:r>
          </w:p>
        </w:tc>
        <w:tc>
          <w:tcPr>
            <w:tcW w:w="3368" w:type="dxa"/>
          </w:tcPr>
          <w:p w:rsidR="009A0502" w:rsidRPr="00C159BB" w:rsidRDefault="009A0502" w:rsidP="009A0502">
            <w:r w:rsidRPr="00C159BB">
              <w:t>Annekatrin El Oumrany</w:t>
            </w:r>
          </w:p>
        </w:tc>
        <w:tc>
          <w:tcPr>
            <w:tcW w:w="2797" w:type="dxa"/>
          </w:tcPr>
          <w:p w:rsidR="009A0502" w:rsidRPr="00C159BB" w:rsidRDefault="009A0502" w:rsidP="009A0502">
            <w:r w:rsidRPr="00C159BB">
              <w:t>CCM Secretariat</w:t>
            </w:r>
          </w:p>
        </w:tc>
        <w:tc>
          <w:tcPr>
            <w:tcW w:w="2345" w:type="dxa"/>
          </w:tcPr>
          <w:p w:rsidR="009A0502" w:rsidRPr="00C159BB" w:rsidRDefault="009A0502" w:rsidP="009A0502">
            <w:pPr>
              <w:jc w:val="both"/>
            </w:pPr>
            <w:r w:rsidRPr="00C159BB">
              <w:t>CCM Secretariat</w:t>
            </w:r>
          </w:p>
        </w:tc>
      </w:tr>
      <w:tr w:rsidR="009A0502" w:rsidRPr="00C159BB" w:rsidTr="00B62BA8"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2</w:t>
            </w:r>
          </w:p>
        </w:tc>
        <w:tc>
          <w:tcPr>
            <w:tcW w:w="3368" w:type="dxa"/>
          </w:tcPr>
          <w:p w:rsidR="009A0502" w:rsidRPr="00C159BB" w:rsidRDefault="009A0502" w:rsidP="009A0502">
            <w:pPr>
              <w:jc w:val="both"/>
            </w:pPr>
            <w:r w:rsidRPr="00C159BB">
              <w:t>Jonas Raphael Manu</w:t>
            </w:r>
          </w:p>
        </w:tc>
        <w:tc>
          <w:tcPr>
            <w:tcW w:w="2797" w:type="dxa"/>
          </w:tcPr>
          <w:p w:rsidR="009A0502" w:rsidRPr="00C159BB" w:rsidRDefault="009A0502" w:rsidP="009A0502">
            <w:pPr>
              <w:jc w:val="both"/>
            </w:pPr>
            <w:r w:rsidRPr="00C159BB">
              <w:t>AGAMal</w:t>
            </w:r>
          </w:p>
        </w:tc>
        <w:tc>
          <w:tcPr>
            <w:tcW w:w="2345" w:type="dxa"/>
          </w:tcPr>
          <w:p w:rsidR="009A0502" w:rsidRPr="00C159BB" w:rsidRDefault="009A0502" w:rsidP="009A0502">
            <w:pPr>
              <w:jc w:val="both"/>
            </w:pPr>
            <w:r w:rsidRPr="00C159BB">
              <w:t>PR / Private Sector</w:t>
            </w:r>
          </w:p>
        </w:tc>
      </w:tr>
      <w:tr w:rsidR="009A0502" w:rsidRPr="00C159BB" w:rsidTr="00B62BA8">
        <w:trPr>
          <w:trHeight w:val="267"/>
        </w:trPr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3</w:t>
            </w:r>
          </w:p>
        </w:tc>
        <w:tc>
          <w:tcPr>
            <w:tcW w:w="3368" w:type="dxa"/>
          </w:tcPr>
          <w:p w:rsidR="009A0502" w:rsidRPr="00C159BB" w:rsidRDefault="009A0502" w:rsidP="009A0502">
            <w:pPr>
              <w:jc w:val="both"/>
            </w:pPr>
            <w:r w:rsidRPr="00C159BB">
              <w:t>Bright Atiase</w:t>
            </w:r>
          </w:p>
        </w:tc>
        <w:tc>
          <w:tcPr>
            <w:tcW w:w="2797" w:type="dxa"/>
          </w:tcPr>
          <w:p w:rsidR="009A0502" w:rsidRPr="00C159BB" w:rsidRDefault="009A0502" w:rsidP="009A0502">
            <w:pPr>
              <w:jc w:val="both"/>
            </w:pPr>
            <w:r w:rsidRPr="00C159BB">
              <w:t>AGAMal</w:t>
            </w:r>
          </w:p>
        </w:tc>
        <w:tc>
          <w:tcPr>
            <w:tcW w:w="2345" w:type="dxa"/>
          </w:tcPr>
          <w:p w:rsidR="009A0502" w:rsidRPr="00C159BB" w:rsidRDefault="009A0502" w:rsidP="009A0502">
            <w:pPr>
              <w:jc w:val="both"/>
            </w:pPr>
            <w:r w:rsidRPr="00C159BB">
              <w:t>PR / Private Sector</w:t>
            </w:r>
          </w:p>
        </w:tc>
      </w:tr>
      <w:tr w:rsidR="009A0502" w:rsidRPr="00C159BB" w:rsidTr="00B62BA8">
        <w:trPr>
          <w:trHeight w:val="267"/>
        </w:trPr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4</w:t>
            </w:r>
          </w:p>
        </w:tc>
        <w:tc>
          <w:tcPr>
            <w:tcW w:w="3368" w:type="dxa"/>
          </w:tcPr>
          <w:p w:rsidR="009A0502" w:rsidRPr="00C159BB" w:rsidRDefault="00C159BB" w:rsidP="009A0502">
            <w:pPr>
              <w:jc w:val="both"/>
            </w:pPr>
            <w:r w:rsidRPr="00C159BB">
              <w:t>Wahjib Mohamed</w:t>
            </w:r>
          </w:p>
        </w:tc>
        <w:tc>
          <w:tcPr>
            <w:tcW w:w="2797" w:type="dxa"/>
          </w:tcPr>
          <w:p w:rsidR="009A0502" w:rsidRPr="00C159BB" w:rsidRDefault="009A0502" w:rsidP="009A0502">
            <w:pPr>
              <w:jc w:val="both"/>
            </w:pPr>
            <w:r w:rsidRPr="00C159BB">
              <w:t>NMCP</w:t>
            </w:r>
          </w:p>
        </w:tc>
        <w:tc>
          <w:tcPr>
            <w:tcW w:w="2345" w:type="dxa"/>
          </w:tcPr>
          <w:p w:rsidR="009A0502" w:rsidRPr="00C159BB" w:rsidRDefault="009A0502" w:rsidP="009A0502">
            <w:r w:rsidRPr="00C159BB">
              <w:t>PR / Government</w:t>
            </w:r>
          </w:p>
        </w:tc>
      </w:tr>
      <w:tr w:rsidR="009A0502" w:rsidRPr="00C159BB" w:rsidTr="008729A1"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5</w:t>
            </w:r>
          </w:p>
        </w:tc>
        <w:tc>
          <w:tcPr>
            <w:tcW w:w="3368" w:type="dxa"/>
          </w:tcPr>
          <w:p w:rsidR="009A0502" w:rsidRPr="00C159BB" w:rsidRDefault="00C159BB" w:rsidP="00C159BB">
            <w:r w:rsidRPr="00C159BB">
              <w:t xml:space="preserve">Nana Yaw Peprah </w:t>
            </w:r>
          </w:p>
        </w:tc>
        <w:tc>
          <w:tcPr>
            <w:tcW w:w="2797" w:type="dxa"/>
          </w:tcPr>
          <w:p w:rsidR="009A0502" w:rsidRPr="00C159BB" w:rsidRDefault="009A0502" w:rsidP="009A0502">
            <w:r w:rsidRPr="00C159BB">
              <w:t>NMCP</w:t>
            </w:r>
          </w:p>
        </w:tc>
        <w:tc>
          <w:tcPr>
            <w:tcW w:w="2345" w:type="dxa"/>
          </w:tcPr>
          <w:p w:rsidR="009A0502" w:rsidRPr="00C159BB" w:rsidRDefault="009A0502" w:rsidP="009A0502">
            <w:r w:rsidRPr="00C159BB">
              <w:t>PR / Government</w:t>
            </w:r>
          </w:p>
        </w:tc>
      </w:tr>
      <w:tr w:rsidR="009A0502" w:rsidRPr="00C159BB" w:rsidTr="00B62BA8">
        <w:trPr>
          <w:trHeight w:val="267"/>
        </w:trPr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6</w:t>
            </w:r>
          </w:p>
        </w:tc>
        <w:tc>
          <w:tcPr>
            <w:tcW w:w="3368" w:type="dxa"/>
          </w:tcPr>
          <w:p w:rsidR="009A0502" w:rsidRPr="00C159BB" w:rsidRDefault="009A0502" w:rsidP="009A0502">
            <w:pPr>
              <w:jc w:val="both"/>
            </w:pPr>
            <w:r w:rsidRPr="00C159BB">
              <w:t>Samuel Dodoo</w:t>
            </w:r>
          </w:p>
        </w:tc>
        <w:tc>
          <w:tcPr>
            <w:tcW w:w="2797" w:type="dxa"/>
          </w:tcPr>
          <w:p w:rsidR="009A0502" w:rsidRPr="00C159BB" w:rsidRDefault="009A0502" w:rsidP="009A0502">
            <w:pPr>
              <w:jc w:val="both"/>
            </w:pPr>
            <w:r w:rsidRPr="00C159BB">
              <w:t>Media Response – Stop TB</w:t>
            </w:r>
          </w:p>
        </w:tc>
        <w:tc>
          <w:tcPr>
            <w:tcW w:w="2345" w:type="dxa"/>
          </w:tcPr>
          <w:p w:rsidR="009A0502" w:rsidRPr="00C159BB" w:rsidRDefault="009A0502" w:rsidP="009A0502">
            <w:r w:rsidRPr="00C159BB">
              <w:t>OC / NGO</w:t>
            </w:r>
          </w:p>
        </w:tc>
      </w:tr>
      <w:tr w:rsidR="009A0502" w:rsidRPr="00C159BB" w:rsidTr="00B62BA8"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7</w:t>
            </w:r>
          </w:p>
        </w:tc>
        <w:tc>
          <w:tcPr>
            <w:tcW w:w="3368" w:type="dxa"/>
          </w:tcPr>
          <w:p w:rsidR="009A0502" w:rsidRPr="00C159BB" w:rsidRDefault="009A0502" w:rsidP="009A0502">
            <w:r w:rsidRPr="00C159BB">
              <w:t>Dan Epeh</w:t>
            </w:r>
          </w:p>
        </w:tc>
        <w:tc>
          <w:tcPr>
            <w:tcW w:w="2797" w:type="dxa"/>
          </w:tcPr>
          <w:p w:rsidR="009A0502" w:rsidRPr="00C159BB" w:rsidRDefault="009A0502" w:rsidP="009A0502">
            <w:r w:rsidRPr="00C159BB">
              <w:t>GAC</w:t>
            </w:r>
          </w:p>
        </w:tc>
        <w:tc>
          <w:tcPr>
            <w:tcW w:w="2345" w:type="dxa"/>
          </w:tcPr>
          <w:p w:rsidR="009A0502" w:rsidRPr="00C159BB" w:rsidRDefault="009A0502" w:rsidP="009A0502">
            <w:r w:rsidRPr="00C159BB">
              <w:t>OC / Co-opted member</w:t>
            </w:r>
          </w:p>
        </w:tc>
      </w:tr>
      <w:tr w:rsidR="009A0502" w:rsidRPr="00C159BB" w:rsidTr="00B62BA8">
        <w:tc>
          <w:tcPr>
            <w:tcW w:w="648" w:type="dxa"/>
          </w:tcPr>
          <w:p w:rsidR="009A0502" w:rsidRPr="00C159BB" w:rsidRDefault="00C159BB" w:rsidP="009A0502">
            <w:pPr>
              <w:jc w:val="both"/>
            </w:pPr>
            <w:r>
              <w:t>8</w:t>
            </w:r>
          </w:p>
        </w:tc>
        <w:tc>
          <w:tcPr>
            <w:tcW w:w="3368" w:type="dxa"/>
          </w:tcPr>
          <w:p w:rsidR="009A0502" w:rsidRPr="00C159BB" w:rsidRDefault="009A0502" w:rsidP="009A0502">
            <w:r w:rsidRPr="00C159BB">
              <w:t>Laud Baddoo</w:t>
            </w:r>
          </w:p>
        </w:tc>
        <w:tc>
          <w:tcPr>
            <w:tcW w:w="2797" w:type="dxa"/>
          </w:tcPr>
          <w:p w:rsidR="009A0502" w:rsidRPr="00C159BB" w:rsidRDefault="009A0502" w:rsidP="009A0502">
            <w:r w:rsidRPr="00C159BB">
              <w:t>GHSCP – PSM Project</w:t>
            </w:r>
          </w:p>
        </w:tc>
        <w:tc>
          <w:tcPr>
            <w:tcW w:w="2345" w:type="dxa"/>
          </w:tcPr>
          <w:p w:rsidR="009A0502" w:rsidRPr="00C159BB" w:rsidRDefault="009A0502" w:rsidP="009A0502">
            <w:r w:rsidRPr="00C159BB">
              <w:t>OC / Co-opted member</w:t>
            </w:r>
          </w:p>
        </w:tc>
      </w:tr>
    </w:tbl>
    <w:p w:rsidR="005C4042" w:rsidRDefault="005C4042" w:rsidP="007D2F92">
      <w:pPr>
        <w:jc w:val="both"/>
      </w:pPr>
    </w:p>
    <w:p w:rsidR="00167B82" w:rsidRPr="00167B82" w:rsidRDefault="00167B82" w:rsidP="007D2F92">
      <w:pPr>
        <w:jc w:val="both"/>
        <w:rPr>
          <w:b/>
        </w:rPr>
      </w:pPr>
      <w:r w:rsidRPr="00167B82">
        <w:rPr>
          <w:b/>
        </w:rPr>
        <w:t>Absence: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16"/>
        <w:gridCol w:w="2610"/>
        <w:gridCol w:w="2340"/>
        <w:gridCol w:w="1181"/>
      </w:tblGrid>
      <w:tr w:rsidR="00167B82" w:rsidTr="00B62BA8">
        <w:tc>
          <w:tcPr>
            <w:tcW w:w="562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 xml:space="preserve">No. </w:t>
            </w:r>
          </w:p>
        </w:tc>
        <w:tc>
          <w:tcPr>
            <w:tcW w:w="2516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>Name</w:t>
            </w:r>
          </w:p>
        </w:tc>
        <w:tc>
          <w:tcPr>
            <w:tcW w:w="2610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>Organization</w:t>
            </w:r>
          </w:p>
        </w:tc>
        <w:tc>
          <w:tcPr>
            <w:tcW w:w="2340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>Sector</w:t>
            </w:r>
          </w:p>
        </w:tc>
        <w:tc>
          <w:tcPr>
            <w:tcW w:w="1181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A0502" w:rsidTr="006D33C8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0502" w:rsidRPr="00052CD1" w:rsidRDefault="009A0502" w:rsidP="009A05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A0502" w:rsidRPr="00A66811" w:rsidRDefault="009A0502" w:rsidP="009A0502">
            <w:pPr>
              <w:jc w:val="both"/>
            </w:pPr>
            <w:r>
              <w:t xml:space="preserve">Sixte </w:t>
            </w:r>
            <w:r w:rsidRPr="0068673A">
              <w:t>Zigirumugabe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0502" w:rsidRPr="00A66811" w:rsidRDefault="009A0502" w:rsidP="009A0502">
            <w:pPr>
              <w:jc w:val="both"/>
            </w:pPr>
            <w:r>
              <w:t>USAID/PMI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A0502" w:rsidRPr="00A66811" w:rsidRDefault="009A0502" w:rsidP="009A0502">
            <w:pPr>
              <w:jc w:val="both"/>
            </w:pPr>
            <w:r>
              <w:t>OC / Bilateral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A0502" w:rsidRDefault="002B40E0" w:rsidP="002B40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 </w:t>
            </w:r>
            <w:r w:rsidR="009A0502">
              <w:rPr>
                <w:color w:val="000000" w:themeColor="text1"/>
              </w:rPr>
              <w:t>Holiday</w:t>
            </w:r>
          </w:p>
        </w:tc>
      </w:tr>
      <w:tr w:rsidR="002B40E0" w:rsidTr="008B1E94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0E0" w:rsidRPr="00052CD1" w:rsidRDefault="002B40E0" w:rsidP="002B40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0E0" w:rsidRPr="00B62BA8" w:rsidRDefault="002B40E0" w:rsidP="002B40E0">
            <w:r w:rsidRPr="00B62BA8">
              <w:t xml:space="preserve">Dr. Naa Ashiley </w:t>
            </w:r>
            <w:proofErr w:type="spellStart"/>
            <w:r w:rsidRPr="00B62BA8">
              <w:t>Vanderpuye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0E0" w:rsidRPr="00A66811" w:rsidRDefault="002B40E0" w:rsidP="002B40E0">
            <w:pPr>
              <w:jc w:val="both"/>
            </w:pPr>
            <w:r>
              <w:t>Stop TB Partnership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B40E0" w:rsidRPr="00A66811" w:rsidRDefault="002B40E0" w:rsidP="002B40E0">
            <w:pPr>
              <w:jc w:val="both"/>
            </w:pPr>
            <w:r>
              <w:t>KAP (TB) / NGO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B40E0" w:rsidRDefault="002B40E0" w:rsidP="002B40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Mission</w:t>
            </w:r>
          </w:p>
        </w:tc>
      </w:tr>
      <w:tr w:rsidR="00FB2118" w:rsidTr="00B62BA8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2118" w:rsidRPr="00052CD1" w:rsidRDefault="00FB2118" w:rsidP="00FB2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2118" w:rsidRPr="00A66811" w:rsidRDefault="00FB2118" w:rsidP="00FB2118">
            <w:r w:rsidRPr="00A66811">
              <w:t>Dr. Felicia Owusu-Antwi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2118" w:rsidRDefault="00FB2118" w:rsidP="00FB2118">
            <w:r w:rsidRPr="00A66811">
              <w:t>WHO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B2118" w:rsidRDefault="00FB2118" w:rsidP="00FB2118">
            <w:r w:rsidRPr="00A66811">
              <w:t xml:space="preserve">OC / </w:t>
            </w:r>
            <w:r>
              <w:t>Co-opted member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B2118" w:rsidRDefault="00C159BB" w:rsidP="00FB2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Meeting</w:t>
            </w:r>
          </w:p>
        </w:tc>
      </w:tr>
      <w:tr w:rsidR="00FB2118" w:rsidTr="00B62BA8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2118" w:rsidRDefault="00FB2118" w:rsidP="00FB2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2118" w:rsidRPr="00A66811" w:rsidRDefault="00FB2118" w:rsidP="00FB2118">
            <w:r>
              <w:t xml:space="preserve">Dr. Sebastian </w:t>
            </w:r>
            <w:proofErr w:type="spellStart"/>
            <w:r>
              <w:t>Sandaare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2118" w:rsidRPr="00A66811" w:rsidRDefault="00FB2118" w:rsidP="00FB2118">
            <w:pPr>
              <w:jc w:val="both"/>
            </w:pPr>
            <w:r>
              <w:t>District Health Directorate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B2118" w:rsidRPr="00A66811" w:rsidRDefault="00FB2118" w:rsidP="00FB2118">
            <w:pPr>
              <w:jc w:val="both"/>
            </w:pPr>
            <w:r>
              <w:t>OC / PLWD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B2118" w:rsidRDefault="00FB2118" w:rsidP="00FB2118">
            <w:pPr>
              <w:rPr>
                <w:color w:val="000000" w:themeColor="text1"/>
              </w:rPr>
            </w:pPr>
          </w:p>
        </w:tc>
      </w:tr>
    </w:tbl>
    <w:p w:rsidR="002A6CB3" w:rsidRDefault="002A6CB3">
      <w:pPr>
        <w:rPr>
          <w:b/>
          <w:sz w:val="24"/>
          <w:szCs w:val="24"/>
        </w:rPr>
      </w:pPr>
    </w:p>
    <w:p w:rsidR="00F957F5" w:rsidRPr="00962157" w:rsidRDefault="00F957F5" w:rsidP="00172379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62157">
        <w:rPr>
          <w:b/>
          <w:sz w:val="24"/>
          <w:szCs w:val="24"/>
        </w:rPr>
        <w:t>Opening:</w:t>
      </w:r>
    </w:p>
    <w:p w:rsidR="00F957F5" w:rsidRDefault="00F957F5" w:rsidP="00F957F5">
      <w:pPr>
        <w:jc w:val="both"/>
      </w:pPr>
      <w:r>
        <w:t xml:space="preserve">The meeting started at </w:t>
      </w:r>
      <w:r w:rsidR="00FB2118">
        <w:t>9:25 am</w:t>
      </w:r>
      <w:r w:rsidR="00C159BB">
        <w:t xml:space="preserve"> with an internal session for Oversight Committee members only</w:t>
      </w:r>
      <w:r w:rsidR="00BD178F">
        <w:t xml:space="preserve">. </w:t>
      </w:r>
    </w:p>
    <w:p w:rsidR="00F46F53" w:rsidRDefault="00F46F53" w:rsidP="00172379">
      <w:pPr>
        <w:numPr>
          <w:ilvl w:val="0"/>
          <w:numId w:val="3"/>
        </w:numPr>
        <w:tabs>
          <w:tab w:val="num" w:pos="720"/>
        </w:tabs>
        <w:spacing w:after="0"/>
        <w:jc w:val="both"/>
        <w:rPr>
          <w:b/>
        </w:rPr>
      </w:pPr>
      <w:r w:rsidRPr="001C13E1">
        <w:rPr>
          <w:b/>
        </w:rPr>
        <w:t xml:space="preserve">Conflict of interest </w:t>
      </w:r>
    </w:p>
    <w:p w:rsidR="00636F4C" w:rsidRDefault="00FB2118" w:rsidP="00F46F53">
      <w:pPr>
        <w:spacing w:after="0"/>
        <w:ind w:left="360"/>
        <w:jc w:val="both"/>
      </w:pPr>
      <w:r>
        <w:t>Annekatrin El Oumrany</w:t>
      </w:r>
      <w:r w:rsidR="00BD178F">
        <w:t xml:space="preserve"> </w:t>
      </w:r>
      <w:r w:rsidR="00F46F53">
        <w:t xml:space="preserve">asked the </w:t>
      </w:r>
      <w:r w:rsidR="00BD178F">
        <w:t xml:space="preserve">oversight committee members present </w:t>
      </w:r>
      <w:r w:rsidR="00F46F53">
        <w:t xml:space="preserve">if they had any </w:t>
      </w:r>
      <w:r w:rsidR="005B429F">
        <w:t xml:space="preserve">potential or actual </w:t>
      </w:r>
      <w:r w:rsidR="00F46F53">
        <w:t>conflict of interest in relation to the malaria dashboard revi</w:t>
      </w:r>
      <w:r w:rsidR="008A272D">
        <w:t>ew or other items of the agenda</w:t>
      </w:r>
      <w:r w:rsidR="005B429F">
        <w:t xml:space="preserve">. </w:t>
      </w:r>
      <w:r w:rsidR="00BD178F">
        <w:t xml:space="preserve"> All members present responded that they had no conflict of interest.</w:t>
      </w:r>
    </w:p>
    <w:p w:rsidR="00995DE5" w:rsidRDefault="00995DE5" w:rsidP="00F46F53">
      <w:pPr>
        <w:spacing w:after="0"/>
        <w:ind w:left="360"/>
        <w:jc w:val="both"/>
      </w:pPr>
    </w:p>
    <w:p w:rsidR="00C159BB" w:rsidRDefault="00C159BB" w:rsidP="00172379">
      <w:pPr>
        <w:numPr>
          <w:ilvl w:val="0"/>
          <w:numId w:val="3"/>
        </w:numPr>
        <w:tabs>
          <w:tab w:val="num" w:pos="720"/>
        </w:tabs>
        <w:spacing w:after="0"/>
        <w:jc w:val="both"/>
        <w:rPr>
          <w:b/>
        </w:rPr>
      </w:pPr>
      <w:r>
        <w:rPr>
          <w:b/>
        </w:rPr>
        <w:t>Grant making</w:t>
      </w:r>
      <w:r w:rsidR="002349B9">
        <w:rPr>
          <w:b/>
        </w:rPr>
        <w:t xml:space="preserve"> and CCM risk mitigation</w:t>
      </w:r>
    </w:p>
    <w:p w:rsidR="00C159BB" w:rsidRDefault="00C159BB" w:rsidP="00C159BB">
      <w:pPr>
        <w:spacing w:after="0"/>
        <w:ind w:left="360"/>
        <w:jc w:val="both"/>
      </w:pPr>
      <w:r w:rsidRPr="00C159BB">
        <w:t xml:space="preserve">Annekatrin </w:t>
      </w:r>
      <w:r>
        <w:t>p</w:t>
      </w:r>
      <w:r w:rsidRPr="00C159BB">
        <w:t xml:space="preserve">rovided the </w:t>
      </w:r>
      <w:r>
        <w:t>members with an overview on the status quo of the grant making and the anticipated budget</w:t>
      </w:r>
      <w:r w:rsidR="00F27B71">
        <w:t xml:space="preserve"> (see the CCM website for details “Funding Request”)</w:t>
      </w:r>
      <w:r>
        <w:t xml:space="preserve">. </w:t>
      </w:r>
      <w:r w:rsidR="002349B9">
        <w:t xml:space="preserve">The members were also informed about the CCM risk assessment and mitigation exercise. </w:t>
      </w:r>
    </w:p>
    <w:p w:rsidR="00C159BB" w:rsidRPr="00C159BB" w:rsidRDefault="00C159BB" w:rsidP="00C159BB">
      <w:pPr>
        <w:spacing w:after="0"/>
        <w:ind w:left="360"/>
        <w:jc w:val="both"/>
      </w:pPr>
    </w:p>
    <w:p w:rsidR="008A272D" w:rsidRDefault="00827F97" w:rsidP="00172379">
      <w:pPr>
        <w:numPr>
          <w:ilvl w:val="0"/>
          <w:numId w:val="3"/>
        </w:numPr>
        <w:tabs>
          <w:tab w:val="num" w:pos="720"/>
        </w:tabs>
        <w:spacing w:after="0"/>
        <w:jc w:val="both"/>
        <w:rPr>
          <w:b/>
        </w:rPr>
      </w:pPr>
      <w:r>
        <w:rPr>
          <w:b/>
        </w:rPr>
        <w:t>Feedback from the field</w:t>
      </w:r>
      <w:r w:rsidR="00064741">
        <w:rPr>
          <w:b/>
        </w:rPr>
        <w:t xml:space="preserve"> – </w:t>
      </w:r>
      <w:r w:rsidR="002B40E0">
        <w:rPr>
          <w:b/>
        </w:rPr>
        <w:t xml:space="preserve">site visit to Volta Region </w:t>
      </w:r>
    </w:p>
    <w:p w:rsidR="008A272D" w:rsidRPr="000D36CD" w:rsidRDefault="002349B9" w:rsidP="000D36CD">
      <w:pPr>
        <w:spacing w:after="0"/>
        <w:ind w:left="360"/>
        <w:jc w:val="both"/>
      </w:pPr>
      <w:r>
        <w:t>Annekatrin informed the members about the site visit to Volta Region in October 2017.</w:t>
      </w:r>
      <w:r w:rsidR="000D36CD">
        <w:t xml:space="preserve"> The full information can be found in the NMCP section.</w:t>
      </w:r>
      <w:r>
        <w:t xml:space="preserve"> </w:t>
      </w:r>
      <w:r w:rsidR="000D36CD">
        <w:t xml:space="preserve">There was no feedback from the field from the OC members. </w:t>
      </w:r>
    </w:p>
    <w:p w:rsidR="001B26C1" w:rsidRPr="00FE0736" w:rsidRDefault="009A0502" w:rsidP="00172379">
      <w:pPr>
        <w:pStyle w:val="ListParagraph"/>
        <w:numPr>
          <w:ilvl w:val="0"/>
          <w:numId w:val="1"/>
        </w:numPr>
        <w:spacing w:before="36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AGA</w:t>
      </w:r>
      <w:r w:rsidR="00F627E7" w:rsidRPr="00FE0736">
        <w:rPr>
          <w:b/>
          <w:sz w:val="24"/>
          <w:szCs w:val="24"/>
        </w:rPr>
        <w:t>Mal</w:t>
      </w:r>
    </w:p>
    <w:p w:rsidR="00943026" w:rsidRDefault="003C6BC3" w:rsidP="009A050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</w:pPr>
      <w:r w:rsidRPr="00B05674">
        <w:rPr>
          <w:b/>
        </w:rPr>
        <w:t>Follow up:</w:t>
      </w:r>
      <w:r w:rsidR="00B05674" w:rsidRPr="00B05674">
        <w:rPr>
          <w:b/>
        </w:rPr>
        <w:t xml:space="preserve"> </w:t>
      </w:r>
    </w:p>
    <w:p w:rsidR="009A0502" w:rsidRDefault="00F00962" w:rsidP="00F34270">
      <w:pPr>
        <w:pStyle w:val="ListParagraph"/>
        <w:numPr>
          <w:ilvl w:val="0"/>
          <w:numId w:val="11"/>
        </w:numPr>
        <w:spacing w:after="0"/>
        <w:ind w:left="717"/>
      </w:pPr>
      <w:r w:rsidRPr="000D0072">
        <w:rPr>
          <w:b/>
        </w:rPr>
        <w:t>Upper West</w:t>
      </w:r>
      <w:r w:rsidR="009A0502" w:rsidRPr="000D0072">
        <w:rPr>
          <w:b/>
        </w:rPr>
        <w:t xml:space="preserve">: </w:t>
      </w:r>
      <w:r w:rsidR="000D0072" w:rsidRPr="000D0072">
        <w:t>P</w:t>
      </w:r>
      <w:r w:rsidR="009A0502" w:rsidRPr="000D0072">
        <w:t>r</w:t>
      </w:r>
      <w:r w:rsidR="009A0502">
        <w:t>eviously reported contamination allegations</w:t>
      </w:r>
      <w:r>
        <w:t>:</w:t>
      </w:r>
      <w:r w:rsidR="009A0502">
        <w:t xml:space="preserve"> </w:t>
      </w:r>
      <w:r w:rsidR="00FB2118">
        <w:t xml:space="preserve">same status quo. 21 communities pulled out. Independent report rules out contamination by AGAMal. </w:t>
      </w:r>
      <w:r w:rsidR="000D0072">
        <w:t xml:space="preserve">NMCP as independent organization is requested to inform stakeholders about the findings of the report. </w:t>
      </w:r>
      <w:r w:rsidR="009A0502">
        <w:t xml:space="preserve">Follow up on </w:t>
      </w:r>
      <w:r w:rsidR="00CA2BBE">
        <w:t>alternative intervention</w:t>
      </w:r>
      <w:r w:rsidR="009A0502">
        <w:t>s to</w:t>
      </w:r>
      <w:r w:rsidR="00CA2BBE">
        <w:t xml:space="preserve"> be implemented in the 21 districts where AGAMAL has withdrawn spraying services</w:t>
      </w:r>
      <w:r w:rsidR="00FB2118">
        <w:t>: meeting in Tamale early November, recommendation</w:t>
      </w:r>
      <w:r w:rsidR="006A5CB6">
        <w:t>s</w:t>
      </w:r>
      <w:r w:rsidR="00FB2118">
        <w:t xml:space="preserve"> made. Feedback still awaited.</w:t>
      </w:r>
      <w:r w:rsidR="00CA2BBE">
        <w:t xml:space="preserve">   </w:t>
      </w:r>
    </w:p>
    <w:p w:rsidR="00064741" w:rsidRPr="009A0502" w:rsidRDefault="00CA2BBE" w:rsidP="005C31C3">
      <w:pPr>
        <w:pStyle w:val="ListParagraph"/>
        <w:numPr>
          <w:ilvl w:val="0"/>
          <w:numId w:val="11"/>
        </w:numPr>
        <w:spacing w:after="0"/>
        <w:ind w:left="717"/>
      </w:pPr>
      <w:r w:rsidRPr="009A0502">
        <w:rPr>
          <w:b/>
        </w:rPr>
        <w:t>Upper East</w:t>
      </w:r>
      <w:r w:rsidR="00F27B71">
        <w:rPr>
          <w:b/>
        </w:rPr>
        <w:t xml:space="preserve"> / </w:t>
      </w:r>
      <w:proofErr w:type="spellStart"/>
      <w:r w:rsidR="00F27B71">
        <w:rPr>
          <w:b/>
        </w:rPr>
        <w:t>NGenIRS</w:t>
      </w:r>
      <w:proofErr w:type="spellEnd"/>
      <w:r w:rsidR="009A0502">
        <w:rPr>
          <w:b/>
        </w:rPr>
        <w:t xml:space="preserve">: </w:t>
      </w:r>
      <w:r w:rsidR="009A0502" w:rsidRPr="00FB2118">
        <w:t>E</w:t>
      </w:r>
      <w:r w:rsidR="009A0502" w:rsidRPr="009A0502">
        <w:t xml:space="preserve">xperiences from first round: </w:t>
      </w:r>
      <w:r w:rsidR="00FB2118">
        <w:t xml:space="preserve">no real challenges. People welcomed activity. Stakeholder meeting after contamination allegations in UWR. </w:t>
      </w:r>
      <w:r w:rsidR="005865FF">
        <w:t>No IRS</w:t>
      </w:r>
      <w:r w:rsidR="00FB2118">
        <w:t xml:space="preserve"> </w:t>
      </w:r>
      <w:r w:rsidR="00F27B71">
        <w:t xml:space="preserve">in </w:t>
      </w:r>
      <w:r w:rsidR="00FB2118">
        <w:t xml:space="preserve">any rooms in which food items are stored. </w:t>
      </w:r>
      <w:r w:rsidR="00E87E59">
        <w:t>Sticker</w:t>
      </w:r>
      <w:r w:rsidR="00537BBE">
        <w:t>s</w:t>
      </w:r>
      <w:r w:rsidR="00E87E59">
        <w:t xml:space="preserve"> distributed upfront to mark those rooms. </w:t>
      </w:r>
      <w:r w:rsidR="005865FF">
        <w:t xml:space="preserve">Sometimes found later onwards that </w:t>
      </w:r>
      <w:r w:rsidR="006146A0">
        <w:t xml:space="preserve">stickers </w:t>
      </w:r>
      <w:r w:rsidR="005865FF">
        <w:t>we</w:t>
      </w:r>
      <w:r w:rsidR="006146A0">
        <w:t xml:space="preserve">re incorrectly applied </w:t>
      </w:r>
      <w:r w:rsidR="005865FF">
        <w:t>by residents</w:t>
      </w:r>
      <w:r w:rsidR="00FC35B7">
        <w:t xml:space="preserve"> in spite of comprehensive education</w:t>
      </w:r>
      <w:r w:rsidR="006146A0">
        <w:t xml:space="preserve">. </w:t>
      </w:r>
    </w:p>
    <w:p w:rsidR="00F00962" w:rsidRDefault="009A0502" w:rsidP="003D30B4">
      <w:pPr>
        <w:pStyle w:val="ListParagraph"/>
        <w:numPr>
          <w:ilvl w:val="0"/>
          <w:numId w:val="15"/>
        </w:numPr>
        <w:spacing w:after="0"/>
      </w:pPr>
      <w:r>
        <w:rPr>
          <w:b/>
        </w:rPr>
        <w:t>Obuasi:</w:t>
      </w:r>
      <w:r w:rsidRPr="009A0502">
        <w:t xml:space="preserve"> </w:t>
      </w:r>
      <w:r w:rsidR="001659FE" w:rsidRPr="009A0502">
        <w:t>Resistance</w:t>
      </w:r>
      <w:r>
        <w:t xml:space="preserve"> /</w:t>
      </w:r>
      <w:r w:rsidRPr="009A0502">
        <w:t xml:space="preserve"> Test of new insecticide:</w:t>
      </w:r>
      <w:r w:rsidR="00FB2118">
        <w:t xml:space="preserve"> </w:t>
      </w:r>
      <w:proofErr w:type="spellStart"/>
      <w:r w:rsidR="006146A0">
        <w:t>Sum</w:t>
      </w:r>
      <w:r w:rsidR="00330AF3">
        <w:t>iS</w:t>
      </w:r>
      <w:r w:rsidR="006146A0">
        <w:t>hield</w:t>
      </w:r>
      <w:proofErr w:type="spellEnd"/>
      <w:r w:rsidR="006146A0">
        <w:t xml:space="preserve"> approved by WHO very recently. EPA approval necessary before test</w:t>
      </w:r>
      <w:r w:rsidR="00330AF3">
        <w:t xml:space="preserve"> can be carried out in Obuasi, expected for early 2018</w:t>
      </w:r>
      <w:r w:rsidR="006146A0">
        <w:t xml:space="preserve">. </w:t>
      </w:r>
    </w:p>
    <w:p w:rsidR="004C515E" w:rsidRDefault="004C515E" w:rsidP="003D30B4">
      <w:pPr>
        <w:pStyle w:val="ListParagraph"/>
        <w:numPr>
          <w:ilvl w:val="0"/>
          <w:numId w:val="15"/>
        </w:numPr>
        <w:spacing w:after="0"/>
      </w:pPr>
      <w:r>
        <w:rPr>
          <w:b/>
        </w:rPr>
        <w:t>Status quo</w:t>
      </w:r>
      <w:r w:rsidR="003238A0">
        <w:rPr>
          <w:b/>
        </w:rPr>
        <w:t xml:space="preserve"> of</w:t>
      </w:r>
      <w:r>
        <w:rPr>
          <w:b/>
        </w:rPr>
        <w:t xml:space="preserve"> </w:t>
      </w:r>
      <w:proofErr w:type="spellStart"/>
      <w:r>
        <w:rPr>
          <w:b/>
        </w:rPr>
        <w:t>larviciding</w:t>
      </w:r>
      <w:proofErr w:type="spellEnd"/>
      <w:r>
        <w:rPr>
          <w:b/>
        </w:rPr>
        <w:t>:</w:t>
      </w:r>
      <w:r>
        <w:t xml:space="preserve"> </w:t>
      </w:r>
      <w:r w:rsidR="000969DD">
        <w:t xml:space="preserve">initiated in Obuasi in September. Biological intervention (bacteria), funded by AngloGold. Each site revisited after 2 weeks, new bacteria inserted. </w:t>
      </w:r>
      <w:r w:rsidR="00330AF3">
        <w:t xml:space="preserve">Very few permanent breeding sites. Most sites expected to dry out, reducing necessary efforts over time. </w:t>
      </w:r>
      <w:r w:rsidR="000969DD">
        <w:t>Up to now cost of 25,000 USD.</w:t>
      </w:r>
      <w:r w:rsidR="00330AF3" w:rsidRPr="00330AF3">
        <w:t xml:space="preserve"> </w:t>
      </w:r>
      <w:r w:rsidR="00330AF3">
        <w:t>Too early to evaluate impact.</w:t>
      </w:r>
    </w:p>
    <w:p w:rsidR="00DF26EE" w:rsidRPr="00E87E59" w:rsidRDefault="009A0502" w:rsidP="009A0502">
      <w:pPr>
        <w:pStyle w:val="ListParagraph"/>
        <w:numPr>
          <w:ilvl w:val="0"/>
          <w:numId w:val="15"/>
        </w:numPr>
        <w:spacing w:after="0"/>
      </w:pPr>
      <w:r>
        <w:rPr>
          <w:b/>
        </w:rPr>
        <w:t>Preparation of 2018 grant:</w:t>
      </w:r>
      <w:r w:rsidR="00E87E59">
        <w:rPr>
          <w:b/>
        </w:rPr>
        <w:t xml:space="preserve"> </w:t>
      </w:r>
      <w:r w:rsidR="00330AF3" w:rsidRPr="00330AF3">
        <w:t>IRS fully funded</w:t>
      </w:r>
      <w:r w:rsidR="00330AF3">
        <w:rPr>
          <w:b/>
        </w:rPr>
        <w:t xml:space="preserve"> </w:t>
      </w:r>
      <w:r w:rsidR="00330AF3">
        <w:t>in currently served districts in 2018 and 2019. N</w:t>
      </w:r>
      <w:r w:rsidR="00E87E59" w:rsidRPr="00E87E59">
        <w:t xml:space="preserve">o budget yet for UWR in 2020. </w:t>
      </w:r>
      <w:r w:rsidR="000969DD">
        <w:t>Intended to have an earlier start (Mar) to the IRS campaigns because of rain patterns.</w:t>
      </w:r>
      <w:r w:rsidR="006815AE">
        <w:t xml:space="preserve"> </w:t>
      </w:r>
    </w:p>
    <w:p w:rsidR="00B05674" w:rsidRDefault="00B05674" w:rsidP="001659FE">
      <w:pPr>
        <w:pStyle w:val="ListParagraph"/>
        <w:spacing w:after="0"/>
        <w:ind w:left="714"/>
        <w:contextualSpacing w:val="0"/>
      </w:pPr>
    </w:p>
    <w:p w:rsidR="00E360DF" w:rsidRDefault="00E360DF" w:rsidP="00172379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b/>
        </w:rPr>
      </w:pPr>
      <w:r w:rsidRPr="00962157">
        <w:rPr>
          <w:b/>
        </w:rPr>
        <w:t>Financial Indicators: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37"/>
        <w:gridCol w:w="2807"/>
        <w:gridCol w:w="4371"/>
      </w:tblGrid>
      <w:tr w:rsidR="00E360DF" w:rsidTr="00FF2552">
        <w:tc>
          <w:tcPr>
            <w:tcW w:w="1937" w:type="dxa"/>
          </w:tcPr>
          <w:p w:rsidR="00E360DF" w:rsidRDefault="00E360DF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807" w:type="dxa"/>
          </w:tcPr>
          <w:p w:rsidR="00E360DF" w:rsidRDefault="00E360DF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4371" w:type="dxa"/>
          </w:tcPr>
          <w:p w:rsidR="00E360DF" w:rsidRDefault="00E360DF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E360DF" w:rsidTr="00FF2552">
        <w:tc>
          <w:tcPr>
            <w:tcW w:w="1937" w:type="dxa"/>
          </w:tcPr>
          <w:p w:rsidR="00E360DF" w:rsidRDefault="0015382A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Absorption rate</w:t>
            </w:r>
          </w:p>
        </w:tc>
        <w:tc>
          <w:tcPr>
            <w:tcW w:w="2807" w:type="dxa"/>
          </w:tcPr>
          <w:p w:rsidR="007D11AD" w:rsidRDefault="002B40E0" w:rsidP="00FF2552">
            <w:pPr>
              <w:spacing w:before="100" w:beforeAutospacing="1" w:after="100" w:afterAutospacing="1"/>
            </w:pPr>
            <w:r>
              <w:t xml:space="preserve">88%, savings used for UE/R, what accounts for the unspent balance? </w:t>
            </w:r>
          </w:p>
          <w:p w:rsidR="00191AB1" w:rsidRDefault="00191AB1" w:rsidP="00FF2552">
            <w:pPr>
              <w:spacing w:before="100" w:beforeAutospacing="1" w:after="100" w:afterAutospacing="1"/>
            </w:pPr>
            <w:r>
              <w:t>Why are HR cost not higher?</w:t>
            </w:r>
          </w:p>
          <w:p w:rsidR="002B40E0" w:rsidRDefault="002B40E0" w:rsidP="002A05E7">
            <w:pPr>
              <w:spacing w:before="240" w:after="100" w:afterAutospacing="1"/>
            </w:pPr>
            <w:r>
              <w:t>Projected expenditures by E/2017</w:t>
            </w:r>
          </w:p>
          <w:p w:rsidR="002B40E0" w:rsidRPr="001571F6" w:rsidRDefault="002B40E0" w:rsidP="00FF2552">
            <w:pPr>
              <w:spacing w:before="100" w:beforeAutospacing="1" w:after="100" w:afterAutospacing="1"/>
            </w:pPr>
          </w:p>
        </w:tc>
        <w:tc>
          <w:tcPr>
            <w:tcW w:w="4371" w:type="dxa"/>
          </w:tcPr>
          <w:p w:rsidR="005229E5" w:rsidRDefault="002A05E7" w:rsidP="002A05E7">
            <w:pPr>
              <w:spacing w:before="100" w:beforeAutospacing="1" w:after="100" w:afterAutospacing="1"/>
            </w:pPr>
            <w:r>
              <w:t xml:space="preserve">3 months </w:t>
            </w:r>
            <w:proofErr w:type="spellStart"/>
            <w:r>
              <w:t>NGenIRS</w:t>
            </w:r>
            <w:proofErr w:type="spellEnd"/>
            <w:r>
              <w:t xml:space="preserve"> planned but because of delay shortened to 2 months. Insecticide savings were not fully used for </w:t>
            </w:r>
            <w:proofErr w:type="spellStart"/>
            <w:r>
              <w:t>NGenIRS</w:t>
            </w:r>
            <w:proofErr w:type="spellEnd"/>
            <w:r>
              <w:t xml:space="preserve">. UER was sprayed after UWR – </w:t>
            </w:r>
            <w:r w:rsidR="00330AF3">
              <w:t xml:space="preserve">since </w:t>
            </w:r>
            <w:r>
              <w:t>equipment could be reused</w:t>
            </w:r>
            <w:r w:rsidR="00330AF3">
              <w:t>, it was not</w:t>
            </w:r>
            <w:r>
              <w:t xml:space="preserve"> necessary to procure add</w:t>
            </w:r>
            <w:r w:rsidR="00330AF3">
              <w:t>itional</w:t>
            </w:r>
            <w:r>
              <w:t xml:space="preserve"> equipment.  </w:t>
            </w:r>
          </w:p>
          <w:p w:rsidR="002A05E7" w:rsidRPr="001571F6" w:rsidRDefault="002A05E7" w:rsidP="002A05E7">
            <w:pPr>
              <w:spacing w:before="100" w:beforeAutospacing="1" w:after="100" w:afterAutospacing="1"/>
            </w:pPr>
            <w:r>
              <w:t xml:space="preserve">700,000 USD expected expenditures in Q4/2017. Slightly higher </w:t>
            </w:r>
            <w:r w:rsidR="00330AF3">
              <w:t xml:space="preserve">final </w:t>
            </w:r>
            <w:r>
              <w:t xml:space="preserve">burn rate expected (90-92%). </w:t>
            </w:r>
          </w:p>
        </w:tc>
      </w:tr>
    </w:tbl>
    <w:p w:rsidR="0015382A" w:rsidRDefault="0015382A" w:rsidP="00172379">
      <w:pPr>
        <w:pStyle w:val="ListParagraph"/>
        <w:numPr>
          <w:ilvl w:val="0"/>
          <w:numId w:val="2"/>
        </w:numPr>
        <w:spacing w:before="360" w:after="120"/>
        <w:ind w:left="357" w:hanging="357"/>
        <w:contextualSpacing w:val="0"/>
        <w:jc w:val="both"/>
        <w:rPr>
          <w:b/>
        </w:rPr>
      </w:pPr>
      <w:r w:rsidRPr="0015382A">
        <w:rPr>
          <w:b/>
        </w:rPr>
        <w:t xml:space="preserve">Management Indicators: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27"/>
        <w:gridCol w:w="2941"/>
        <w:gridCol w:w="4369"/>
      </w:tblGrid>
      <w:tr w:rsidR="00A712DB" w:rsidTr="000D69F9">
        <w:tc>
          <w:tcPr>
            <w:tcW w:w="1727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41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69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A712DB" w:rsidTr="000D69F9">
        <w:trPr>
          <w:trHeight w:val="558"/>
        </w:trPr>
        <w:tc>
          <w:tcPr>
            <w:tcW w:w="1727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Availability of commodities</w:t>
            </w:r>
          </w:p>
        </w:tc>
        <w:tc>
          <w:tcPr>
            <w:tcW w:w="2941" w:type="dxa"/>
          </w:tcPr>
          <w:p w:rsidR="00A712DB" w:rsidRPr="001571F6" w:rsidRDefault="00191AB1" w:rsidP="001659FE">
            <w:pPr>
              <w:spacing w:before="120"/>
            </w:pPr>
            <w:r>
              <w:t xml:space="preserve">Which is the product procurement past due? </w:t>
            </w:r>
          </w:p>
        </w:tc>
        <w:tc>
          <w:tcPr>
            <w:tcW w:w="4369" w:type="dxa"/>
          </w:tcPr>
          <w:p w:rsidR="00A6029C" w:rsidRPr="001571F6" w:rsidRDefault="000B18DD" w:rsidP="00953FD7">
            <w:pPr>
              <w:pStyle w:val="ListParagraph"/>
              <w:spacing w:before="120"/>
              <w:ind w:left="0"/>
              <w:contextualSpacing w:val="0"/>
            </w:pPr>
            <w:r>
              <w:t>Shouldn’t be red</w:t>
            </w:r>
            <w:r w:rsidR="00330AF3">
              <w:t xml:space="preserve">. DB does not seem to be able to </w:t>
            </w:r>
            <w:r w:rsidR="00953FD7">
              <w:t>deal with</w:t>
            </w:r>
            <w:r w:rsidR="00330AF3">
              <w:t xml:space="preserve"> seasonal procurement pattern. </w:t>
            </w:r>
          </w:p>
        </w:tc>
      </w:tr>
    </w:tbl>
    <w:p w:rsidR="0015382A" w:rsidRDefault="00E360DF" w:rsidP="00172379">
      <w:pPr>
        <w:pStyle w:val="ListParagraph"/>
        <w:numPr>
          <w:ilvl w:val="0"/>
          <w:numId w:val="2"/>
        </w:numPr>
        <w:spacing w:before="360" w:after="120"/>
        <w:ind w:left="357" w:hanging="357"/>
        <w:contextualSpacing w:val="0"/>
        <w:jc w:val="both"/>
        <w:rPr>
          <w:b/>
        </w:rPr>
      </w:pPr>
      <w:r w:rsidRPr="007D6E1C">
        <w:rPr>
          <w:b/>
        </w:rPr>
        <w:lastRenderedPageBreak/>
        <w:t>Programmatic Indicators: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12"/>
        <w:gridCol w:w="2946"/>
        <w:gridCol w:w="4379"/>
      </w:tblGrid>
      <w:tr w:rsidR="00B1636C" w:rsidTr="005D21A8">
        <w:tc>
          <w:tcPr>
            <w:tcW w:w="1712" w:type="dxa"/>
          </w:tcPr>
          <w:p w:rsidR="00B1636C" w:rsidRDefault="00B1636C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46" w:type="dxa"/>
          </w:tcPr>
          <w:p w:rsidR="00B1636C" w:rsidRDefault="00B1636C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79" w:type="dxa"/>
          </w:tcPr>
          <w:p w:rsidR="00B1636C" w:rsidRDefault="00B1636C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B1636C" w:rsidTr="005D21A8">
        <w:trPr>
          <w:trHeight w:val="558"/>
        </w:trPr>
        <w:tc>
          <w:tcPr>
            <w:tcW w:w="1712" w:type="dxa"/>
          </w:tcPr>
          <w:p w:rsidR="00B1636C" w:rsidRDefault="00B1636C" w:rsidP="001659FE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IRS population</w:t>
            </w:r>
          </w:p>
        </w:tc>
        <w:tc>
          <w:tcPr>
            <w:tcW w:w="2946" w:type="dxa"/>
          </w:tcPr>
          <w:p w:rsidR="00511B10" w:rsidRPr="001571F6" w:rsidRDefault="00537BBE" w:rsidP="00FF2552">
            <w:pPr>
              <w:pStyle w:val="ListParagraph"/>
              <w:spacing w:before="120"/>
              <w:ind w:left="34"/>
            </w:pPr>
            <w:r>
              <w:t>99%</w:t>
            </w:r>
          </w:p>
        </w:tc>
        <w:tc>
          <w:tcPr>
            <w:tcW w:w="4379" w:type="dxa"/>
          </w:tcPr>
          <w:p w:rsidR="00511B10" w:rsidRPr="001571F6" w:rsidRDefault="00511B10" w:rsidP="001659FE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A712DB" w:rsidTr="005D21A8">
        <w:trPr>
          <w:trHeight w:val="558"/>
        </w:trPr>
        <w:tc>
          <w:tcPr>
            <w:tcW w:w="1712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IRS structures</w:t>
            </w:r>
          </w:p>
        </w:tc>
        <w:tc>
          <w:tcPr>
            <w:tcW w:w="2946" w:type="dxa"/>
          </w:tcPr>
          <w:p w:rsidR="00A712DB" w:rsidRPr="001571F6" w:rsidRDefault="00537BBE" w:rsidP="00BC4961">
            <w:pPr>
              <w:spacing w:before="100" w:beforeAutospacing="1" w:after="100" w:afterAutospacing="1"/>
            </w:pPr>
            <w:r>
              <w:t>117%</w:t>
            </w:r>
          </w:p>
        </w:tc>
        <w:tc>
          <w:tcPr>
            <w:tcW w:w="4379" w:type="dxa"/>
          </w:tcPr>
          <w:p w:rsidR="00A712DB" w:rsidRDefault="00A712DB" w:rsidP="005B63A5">
            <w:pPr>
              <w:spacing w:before="100" w:beforeAutospacing="1" w:after="100" w:afterAutospacing="1"/>
            </w:pPr>
          </w:p>
        </w:tc>
      </w:tr>
      <w:tr w:rsidR="00E27978" w:rsidTr="005D21A8">
        <w:trPr>
          <w:trHeight w:val="558"/>
        </w:trPr>
        <w:tc>
          <w:tcPr>
            <w:tcW w:w="1712" w:type="dxa"/>
          </w:tcPr>
          <w:p w:rsidR="00E27978" w:rsidRDefault="00E27978" w:rsidP="001659FE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Staff trained on IRS</w:t>
            </w:r>
          </w:p>
        </w:tc>
        <w:tc>
          <w:tcPr>
            <w:tcW w:w="2946" w:type="dxa"/>
          </w:tcPr>
          <w:p w:rsidR="00E27978" w:rsidRPr="001571F6" w:rsidRDefault="0081415A" w:rsidP="00985BC6">
            <w:pPr>
              <w:spacing w:before="100" w:beforeAutospacing="1" w:after="100" w:afterAutospacing="1"/>
            </w:pPr>
            <w:r>
              <w:t>100%</w:t>
            </w:r>
          </w:p>
        </w:tc>
        <w:tc>
          <w:tcPr>
            <w:tcW w:w="4379" w:type="dxa"/>
          </w:tcPr>
          <w:p w:rsidR="00E27978" w:rsidRDefault="00E27978" w:rsidP="00FF2552">
            <w:pPr>
              <w:spacing w:before="100" w:beforeAutospacing="1" w:after="100" w:afterAutospacing="1"/>
            </w:pPr>
          </w:p>
        </w:tc>
      </w:tr>
      <w:tr w:rsidR="00A712DB" w:rsidTr="005D21A8">
        <w:trPr>
          <w:trHeight w:val="558"/>
        </w:trPr>
        <w:tc>
          <w:tcPr>
            <w:tcW w:w="1712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Sentinel sites</w:t>
            </w:r>
          </w:p>
        </w:tc>
        <w:tc>
          <w:tcPr>
            <w:tcW w:w="2946" w:type="dxa"/>
          </w:tcPr>
          <w:p w:rsidR="00A712DB" w:rsidRPr="001571F6" w:rsidRDefault="0081415A" w:rsidP="00E27978">
            <w:pPr>
              <w:spacing w:before="100" w:beforeAutospacing="1" w:after="100" w:afterAutospacing="1"/>
            </w:pPr>
            <w:r>
              <w:t>100%</w:t>
            </w:r>
          </w:p>
        </w:tc>
        <w:tc>
          <w:tcPr>
            <w:tcW w:w="4379" w:type="dxa"/>
          </w:tcPr>
          <w:p w:rsidR="00985BC6" w:rsidRDefault="00985BC6" w:rsidP="00FF2552">
            <w:pPr>
              <w:spacing w:before="100" w:beforeAutospacing="1" w:after="100" w:afterAutospacing="1"/>
            </w:pPr>
          </w:p>
        </w:tc>
      </w:tr>
    </w:tbl>
    <w:p w:rsidR="00953FD7" w:rsidRPr="00953FD7" w:rsidRDefault="00B67669" w:rsidP="00953FD7">
      <w:pPr>
        <w:pStyle w:val="ListParagraph"/>
        <w:numPr>
          <w:ilvl w:val="0"/>
          <w:numId w:val="2"/>
        </w:numPr>
        <w:spacing w:before="360" w:after="0"/>
        <w:ind w:left="357" w:hanging="357"/>
        <w:contextualSpacing w:val="0"/>
        <w:jc w:val="both"/>
        <w:rPr>
          <w:b/>
        </w:rPr>
      </w:pPr>
      <w:r w:rsidRPr="00953FD7">
        <w:rPr>
          <w:b/>
        </w:rPr>
        <w:t xml:space="preserve">Challenges anticipated within the next six months: </w:t>
      </w:r>
    </w:p>
    <w:p w:rsidR="00953FD7" w:rsidRDefault="000B18DD" w:rsidP="00953FD7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 w:rsidRPr="000B18DD">
        <w:t>EPA approval</w:t>
      </w:r>
      <w:r w:rsidR="00953FD7">
        <w:t xml:space="preserve"> of </w:t>
      </w:r>
      <w:proofErr w:type="spellStart"/>
      <w:r w:rsidR="00953FD7">
        <w:t>SumiShield</w:t>
      </w:r>
      <w:proofErr w:type="spellEnd"/>
      <w:r w:rsidR="00953FD7">
        <w:t xml:space="preserve"> necessary to test the new insecticide. </w:t>
      </w:r>
    </w:p>
    <w:p w:rsidR="00B67669" w:rsidRPr="000B18DD" w:rsidRDefault="00953FD7" w:rsidP="00953FD7">
      <w:pPr>
        <w:pStyle w:val="ListParagraph"/>
        <w:numPr>
          <w:ilvl w:val="0"/>
          <w:numId w:val="20"/>
        </w:numPr>
        <w:spacing w:after="120"/>
        <w:contextualSpacing w:val="0"/>
        <w:jc w:val="both"/>
      </w:pPr>
      <w:r>
        <w:t>Possible delays if grant is not signed timely.</w:t>
      </w:r>
    </w:p>
    <w:p w:rsidR="003D62BE" w:rsidRDefault="00E360DF" w:rsidP="00172379">
      <w:pPr>
        <w:pStyle w:val="ListParagraph"/>
        <w:numPr>
          <w:ilvl w:val="0"/>
          <w:numId w:val="2"/>
        </w:numPr>
        <w:spacing w:before="360" w:after="120"/>
        <w:ind w:left="357" w:hanging="357"/>
        <w:contextualSpacing w:val="0"/>
        <w:jc w:val="both"/>
        <w:rPr>
          <w:b/>
        </w:rPr>
      </w:pPr>
      <w:r>
        <w:rPr>
          <w:b/>
        </w:rPr>
        <w:t>Recommendations:</w:t>
      </w:r>
    </w:p>
    <w:p w:rsidR="004C515E" w:rsidRDefault="000B18DD" w:rsidP="004C515E">
      <w:pPr>
        <w:pStyle w:val="ListParagraph"/>
        <w:numPr>
          <w:ilvl w:val="0"/>
          <w:numId w:val="8"/>
        </w:numPr>
        <w:spacing w:before="360" w:after="120"/>
        <w:jc w:val="both"/>
      </w:pPr>
      <w:r>
        <w:t xml:space="preserve">GF to sign grant timely </w:t>
      </w:r>
      <w:r w:rsidR="00953FD7">
        <w:t>to avoid delays</w:t>
      </w:r>
    </w:p>
    <w:p w:rsidR="004C515E" w:rsidRDefault="00656DF5" w:rsidP="004C515E">
      <w:pPr>
        <w:pStyle w:val="ListParagraph"/>
        <w:numPr>
          <w:ilvl w:val="0"/>
          <w:numId w:val="8"/>
        </w:numPr>
        <w:spacing w:before="360" w:after="120"/>
        <w:jc w:val="both"/>
      </w:pPr>
      <w:r>
        <w:t>NMCP to publish information about outcomes of contamination report</w:t>
      </w:r>
      <w:r w:rsidR="00AE75F2">
        <w:t xml:space="preserve"> </w:t>
      </w:r>
    </w:p>
    <w:p w:rsidR="00AE75F2" w:rsidRDefault="00AE75F2" w:rsidP="00AE75F2">
      <w:pPr>
        <w:pStyle w:val="ListParagraph"/>
        <w:spacing w:before="360" w:after="120"/>
        <w:jc w:val="both"/>
      </w:pPr>
    </w:p>
    <w:p w:rsidR="00043AFF" w:rsidRPr="003A2966" w:rsidRDefault="00F627E7" w:rsidP="00172379">
      <w:pPr>
        <w:pStyle w:val="ListParagraph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sz w:val="24"/>
          <w:szCs w:val="24"/>
        </w:rPr>
      </w:pPr>
      <w:r w:rsidRPr="003A2966">
        <w:rPr>
          <w:b/>
          <w:sz w:val="24"/>
          <w:szCs w:val="24"/>
        </w:rPr>
        <w:t>NMCP</w:t>
      </w:r>
    </w:p>
    <w:p w:rsidR="00C139AD" w:rsidRDefault="0004237F" w:rsidP="008D569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b/>
        </w:rPr>
      </w:pPr>
      <w:r>
        <w:rPr>
          <w:b/>
        </w:rPr>
        <w:t>Follow up:</w:t>
      </w:r>
    </w:p>
    <w:p w:rsidR="00A90B3E" w:rsidRPr="00953FD7" w:rsidRDefault="00A90B3E" w:rsidP="00953FD7">
      <w:pPr>
        <w:spacing w:after="0"/>
        <w:ind w:left="360"/>
        <w:jc w:val="both"/>
        <w:rPr>
          <w:b/>
        </w:rPr>
      </w:pPr>
      <w:r w:rsidRPr="00953FD7">
        <w:rPr>
          <w:b/>
        </w:rPr>
        <w:t xml:space="preserve">Site visit to Volta (CCM) and Northern (SAMC) Regions </w:t>
      </w:r>
    </w:p>
    <w:p w:rsidR="00C94BDC" w:rsidRDefault="00A90B3E" w:rsidP="00860A95">
      <w:pPr>
        <w:pStyle w:val="ListParagraph"/>
        <w:numPr>
          <w:ilvl w:val="0"/>
          <w:numId w:val="8"/>
        </w:numPr>
        <w:spacing w:after="0"/>
        <w:contextualSpacing w:val="0"/>
      </w:pPr>
      <w:r w:rsidRPr="000D69F9">
        <w:rPr>
          <w:u w:val="single"/>
        </w:rPr>
        <w:t>Procurement of ACTs from open market by facilities vs. expiries:</w:t>
      </w:r>
      <w:r>
        <w:t xml:space="preserve"> Info from both regions: ACT price on open market is currently</w:t>
      </w:r>
      <w:r w:rsidR="00C94BDC">
        <w:t xml:space="preserve"> higher than NHIS reimbursement </w:t>
      </w:r>
      <w:r>
        <w:t xml:space="preserve">&gt;&gt; Procurement from open market would make the facility run at a loss. Procurement from open market may have occurred in the past but prices were </w:t>
      </w:r>
      <w:r w:rsidR="00347A98">
        <w:t xml:space="preserve">still </w:t>
      </w:r>
      <w:r>
        <w:t>above RMS prices</w:t>
      </w:r>
      <w:r w:rsidR="00591D2B">
        <w:t xml:space="preserve"> &gt;&gt; </w:t>
      </w:r>
      <w:r w:rsidR="001E3AEC">
        <w:t>reduced profit margin of facility, private interests need to be assumed if open market procurement while RMS has stock</w:t>
      </w:r>
      <w:r>
        <w:t>.</w:t>
      </w:r>
      <w:r w:rsidR="00591D2B">
        <w:t xml:space="preserve"> </w:t>
      </w:r>
      <w:r w:rsidR="00C94BDC">
        <w:t xml:space="preserve">However, this was challenged by some of the meeting participants saying that locally produced ACTs are partly sold for much less, possibly allowing for a bigger profit margin at facility level. </w:t>
      </w:r>
      <w:r w:rsidR="001E3AEC">
        <w:t>Those locally produced ACTs are supposedly effective but not WHO approved</w:t>
      </w:r>
      <w:r w:rsidR="00347A98">
        <w:t>, which is why they cannot be procured by the GF</w:t>
      </w:r>
      <w:r w:rsidR="001E3AEC">
        <w:t xml:space="preserve">. </w:t>
      </w:r>
    </w:p>
    <w:p w:rsidR="00A90B3E" w:rsidRDefault="00C94BDC" w:rsidP="00EC7393">
      <w:pPr>
        <w:spacing w:after="0"/>
        <w:ind w:left="720"/>
      </w:pPr>
      <w:r>
        <w:t xml:space="preserve">The Northern RMS </w:t>
      </w:r>
      <w:r w:rsidR="00591D2B">
        <w:t xml:space="preserve">requested all facilities to lay open their procurements on open market for comparison with stock situation in the region. </w:t>
      </w:r>
      <w:r>
        <w:t xml:space="preserve">This initiative was commended by the meeting participants. Laud informed the meeting that </w:t>
      </w:r>
      <w:proofErr w:type="spellStart"/>
      <w:r w:rsidR="00090AA0">
        <w:t>Chemonics</w:t>
      </w:r>
      <w:proofErr w:type="spellEnd"/>
      <w:r>
        <w:t xml:space="preserve"> plans an a</w:t>
      </w:r>
      <w:r w:rsidR="00090AA0">
        <w:t xml:space="preserve">ssessment on private sector procurement of ACTs and </w:t>
      </w:r>
      <w:proofErr w:type="spellStart"/>
      <w:r w:rsidR="00090AA0">
        <w:t>artesunate</w:t>
      </w:r>
      <w:proofErr w:type="spellEnd"/>
      <w:r w:rsidR="00090AA0">
        <w:t xml:space="preserve"> injection</w:t>
      </w:r>
      <w:r>
        <w:t xml:space="preserve"> (and possibly other products)</w:t>
      </w:r>
      <w:r w:rsidR="00B05672">
        <w:t xml:space="preserve"> </w:t>
      </w:r>
      <w:r>
        <w:t xml:space="preserve">for Feb with the objective of providing guidance to </w:t>
      </w:r>
      <w:r w:rsidR="001E3AEC">
        <w:t>reflec</w:t>
      </w:r>
      <w:r>
        <w:t xml:space="preserve">tions </w:t>
      </w:r>
      <w:r w:rsidR="00B05672">
        <w:t xml:space="preserve">to eventually wean the </w:t>
      </w:r>
      <w:r w:rsidR="001E3AEC">
        <w:t>country</w:t>
      </w:r>
      <w:r w:rsidR="00B05672">
        <w:t xml:space="preserve"> from donor supplied ACTs</w:t>
      </w:r>
      <w:r w:rsidR="00090AA0">
        <w:t>.</w:t>
      </w:r>
      <w:r w:rsidR="00FC52A9">
        <w:t xml:space="preserve"> Several participants emphasized the importance of supporting local pharmaceutical manufacturers to improve their quality for a sustainable and country owned solution and also as a contribution to poverty reduction. </w:t>
      </w:r>
      <w:r w:rsidR="00090AA0">
        <w:t xml:space="preserve">  </w:t>
      </w:r>
    </w:p>
    <w:p w:rsidR="00A90B3E" w:rsidRPr="009E1158" w:rsidRDefault="00591D2B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b/>
        </w:rPr>
      </w:pPr>
      <w:r w:rsidRPr="00591D2B">
        <w:rPr>
          <w:u w:val="single"/>
        </w:rPr>
        <w:lastRenderedPageBreak/>
        <w:t>Prison supply with RDTs and ACTs:</w:t>
      </w:r>
      <w:r w:rsidRPr="00591D2B">
        <w:t xml:space="preserve"> The</w:t>
      </w:r>
      <w:r>
        <w:t xml:space="preserve">re is no established mechanism for prisons to be supplied with RDTs and ACTs, seems to depend on level of collaboration between prison </w:t>
      </w:r>
      <w:r w:rsidR="003E3CAE">
        <w:t xml:space="preserve">and </w:t>
      </w:r>
      <w:r>
        <w:t xml:space="preserve">health authorities. Info from VR: prisons are not among the </w:t>
      </w:r>
      <w:r w:rsidR="005A2A86">
        <w:t xml:space="preserve">NHIS </w:t>
      </w:r>
      <w:r w:rsidR="00613ED3">
        <w:t xml:space="preserve">accredited </w:t>
      </w:r>
      <w:r>
        <w:t xml:space="preserve">facilities </w:t>
      </w:r>
      <w:r w:rsidR="005A2A86">
        <w:t xml:space="preserve">and can hence not </w:t>
      </w:r>
      <w:r>
        <w:t>be reimbursed by NHIS.</w:t>
      </w:r>
      <w:r w:rsidR="009E1158">
        <w:t xml:space="preserve"> If prisons receive commodities directly</w:t>
      </w:r>
      <w:r w:rsidR="00221D1E">
        <w:t xml:space="preserve"> from RMS</w:t>
      </w:r>
      <w:r w:rsidR="009E1158">
        <w:t xml:space="preserve">, it causes a loss either to GHS or to the prisons. </w:t>
      </w:r>
      <w:r w:rsidR="0066304B">
        <w:t xml:space="preserve">Recommendation: CCM to liaise with MoH to </w:t>
      </w:r>
      <w:r w:rsidR="00613ED3">
        <w:t>evaluate options to accredit prison infirmaries</w:t>
      </w:r>
      <w:r w:rsidR="0066304B">
        <w:t xml:space="preserve">. </w:t>
      </w:r>
      <w:r>
        <w:t xml:space="preserve">  </w:t>
      </w:r>
    </w:p>
    <w:p w:rsidR="009E1158" w:rsidRDefault="009E1158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</w:pPr>
      <w:r w:rsidRPr="009E1158">
        <w:rPr>
          <w:u w:val="single"/>
        </w:rPr>
        <w:t>Challenges with NHIS reimbursement</w:t>
      </w:r>
      <w:r w:rsidR="001B2AA8">
        <w:rPr>
          <w:u w:val="single"/>
        </w:rPr>
        <w:t>:</w:t>
      </w:r>
      <w:r>
        <w:t xml:space="preserve"> </w:t>
      </w:r>
      <w:proofErr w:type="spellStart"/>
      <w:r>
        <w:t>Ziope</w:t>
      </w:r>
      <w:proofErr w:type="spellEnd"/>
      <w:r>
        <w:t xml:space="preserve"> Health Center </w:t>
      </w:r>
      <w:r w:rsidR="00B53110">
        <w:t xml:space="preserve">in VR </w:t>
      </w:r>
      <w:r>
        <w:t>ha</w:t>
      </w:r>
      <w:r w:rsidR="00B53110">
        <w:t>d</w:t>
      </w:r>
      <w:r>
        <w:t xml:space="preserve"> entirely run out of stock of ACTs and other basic commodities (e.g. </w:t>
      </w:r>
      <w:proofErr w:type="spellStart"/>
      <w:r>
        <w:t>analgestics</w:t>
      </w:r>
      <w:proofErr w:type="spellEnd"/>
      <w:r>
        <w:t xml:space="preserve">, </w:t>
      </w:r>
      <w:r w:rsidR="001B2AA8">
        <w:t xml:space="preserve">antibiotics, </w:t>
      </w:r>
      <w:proofErr w:type="spellStart"/>
      <w:r>
        <w:t>dewormer</w:t>
      </w:r>
      <w:proofErr w:type="spellEnd"/>
      <w:r>
        <w:t>)</w:t>
      </w:r>
      <w:r w:rsidR="0066304B">
        <w:t xml:space="preserve"> </w:t>
      </w:r>
      <w:r w:rsidR="001B2AA8">
        <w:t xml:space="preserve">due to delayed NHIS reimbursements and subsequent indebtedness to the RMS. </w:t>
      </w:r>
      <w:r w:rsidR="0066304B">
        <w:t xml:space="preserve">Laud: </w:t>
      </w:r>
      <w:r w:rsidR="001B2AA8">
        <w:t xml:space="preserve">This does not seem to be an NHIS issue alone as </w:t>
      </w:r>
      <w:r w:rsidR="00536A1E">
        <w:t>most</w:t>
      </w:r>
      <w:r w:rsidR="001B2AA8">
        <w:t xml:space="preserve"> facilities </w:t>
      </w:r>
      <w:r w:rsidR="00D01CE0">
        <w:t xml:space="preserve">are </w:t>
      </w:r>
      <w:r w:rsidR="001B2AA8">
        <w:t>in the same situation manage. There seem</w:t>
      </w:r>
      <w:r w:rsidR="00D01CE0">
        <w:t>s</w:t>
      </w:r>
      <w:r w:rsidR="001B2AA8">
        <w:t xml:space="preserve"> to be additional challenges with financial management at this health center that should be analyzed and addressed by the </w:t>
      </w:r>
      <w:r w:rsidR="0066304B">
        <w:t xml:space="preserve">RHD. </w:t>
      </w:r>
      <w:r w:rsidR="00B53110">
        <w:t xml:space="preserve"> </w:t>
      </w:r>
      <w:r>
        <w:t xml:space="preserve"> </w:t>
      </w:r>
    </w:p>
    <w:p w:rsidR="006D4620" w:rsidRDefault="006D4620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</w:pPr>
      <w:r>
        <w:rPr>
          <w:u w:val="single"/>
        </w:rPr>
        <w:t>IPT:</w:t>
      </w:r>
      <w:r>
        <w:t xml:space="preserve"> </w:t>
      </w:r>
      <w:r w:rsidR="001B2AA8">
        <w:t>Previously only midwives allowed to administer IPT. Recently CHN</w:t>
      </w:r>
      <w:r>
        <w:t xml:space="preserve"> trained on IPT administration </w:t>
      </w:r>
      <w:r w:rsidR="001B2AA8">
        <w:t xml:space="preserve">(Wahjib: this was part of the case management training and took place nationwide) </w:t>
      </w:r>
      <w:r>
        <w:t>and plans to post more midwives to CHPS for increased service quality</w:t>
      </w:r>
      <w:r w:rsidR="001B2AA8">
        <w:t xml:space="preserve"> (Wahjib: this is a regional initiative)</w:t>
      </w:r>
      <w:r>
        <w:t>. No standardized start for IPT at the various facilities.</w:t>
      </w:r>
      <w:r w:rsidR="001B2AA8">
        <w:t xml:space="preserve"> While some start right after the first trimester, others start at 16 weeks only. </w:t>
      </w:r>
      <w:r w:rsidR="00444010">
        <w:t>Answer NMCP: start is 16 w</w:t>
      </w:r>
      <w:r w:rsidR="001B2AA8">
        <w:t xml:space="preserve">eeks or when baby kicks. However, the WHO recommendation is as early as possible after the first trimester, which might also help to increase performance on this GF indicator. </w:t>
      </w:r>
    </w:p>
    <w:p w:rsidR="00C77EEB" w:rsidRDefault="00C77EEB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</w:pPr>
      <w:r>
        <w:rPr>
          <w:u w:val="single"/>
        </w:rPr>
        <w:t>Diagnosis:</w:t>
      </w:r>
      <w:r>
        <w:t xml:space="preserve"> Some facilities use smear tests only selectively, in others it is still the first choice of diagnosis, while RDTs are only used for emergencies</w:t>
      </w:r>
      <w:r w:rsidR="005914E7">
        <w:t>.</w:t>
      </w:r>
      <w:r w:rsidR="001B2AA8">
        <w:t xml:space="preserve"> NMCP: this is perfectly alright.</w:t>
      </w:r>
    </w:p>
    <w:p w:rsidR="005914E7" w:rsidRPr="00A54AAA" w:rsidRDefault="005914E7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</w:pPr>
      <w:r>
        <w:rPr>
          <w:u w:val="single"/>
        </w:rPr>
        <w:t xml:space="preserve">Collaboration with NGOs: </w:t>
      </w:r>
      <w:r w:rsidRPr="005914E7">
        <w:rPr>
          <w:rFonts w:cstheme="minorHAnsi"/>
        </w:rPr>
        <w:t xml:space="preserve">The </w:t>
      </w:r>
      <w:r>
        <w:rPr>
          <w:rFonts w:cstheme="minorHAnsi"/>
        </w:rPr>
        <w:t>VR Health Directorate</w:t>
      </w:r>
      <w:r w:rsidRPr="005914E7">
        <w:rPr>
          <w:rFonts w:cstheme="minorHAnsi"/>
        </w:rPr>
        <w:t xml:space="preserve"> </w:t>
      </w:r>
      <w:r>
        <w:rPr>
          <w:rFonts w:cstheme="minorHAnsi"/>
        </w:rPr>
        <w:t>was</w:t>
      </w:r>
      <w:r w:rsidRPr="005914E7">
        <w:rPr>
          <w:rFonts w:cstheme="minorHAnsi"/>
        </w:rPr>
        <w:t xml:space="preserve"> aware of </w:t>
      </w:r>
      <w:r>
        <w:rPr>
          <w:rFonts w:cstheme="minorHAnsi"/>
        </w:rPr>
        <w:t xml:space="preserve">malaria </w:t>
      </w:r>
      <w:r w:rsidRPr="005914E7">
        <w:rPr>
          <w:rFonts w:cstheme="minorHAnsi"/>
        </w:rPr>
        <w:t xml:space="preserve">NGOs </w:t>
      </w:r>
      <w:r>
        <w:rPr>
          <w:rFonts w:cstheme="minorHAnsi"/>
        </w:rPr>
        <w:t>and</w:t>
      </w:r>
      <w:r w:rsidRPr="005914E7">
        <w:rPr>
          <w:rFonts w:cstheme="minorHAnsi"/>
        </w:rPr>
        <w:t xml:space="preserve"> very pleased about the</w:t>
      </w:r>
      <w:r>
        <w:rPr>
          <w:rFonts w:cstheme="minorHAnsi"/>
        </w:rPr>
        <w:t xml:space="preserve">ir </w:t>
      </w:r>
      <w:r w:rsidRPr="005914E7">
        <w:rPr>
          <w:rFonts w:cstheme="minorHAnsi"/>
        </w:rPr>
        <w:t xml:space="preserve">results in the hinterland where the pregnant women are difficult to reach. They suggest to </w:t>
      </w:r>
      <w:r w:rsidR="008B7EE4">
        <w:rPr>
          <w:rFonts w:cstheme="minorHAnsi"/>
        </w:rPr>
        <w:t xml:space="preserve">task </w:t>
      </w:r>
      <w:r w:rsidRPr="005914E7">
        <w:rPr>
          <w:rFonts w:cstheme="minorHAnsi"/>
        </w:rPr>
        <w:t xml:space="preserve">NGOs </w:t>
      </w:r>
      <w:r w:rsidR="008B7EE4" w:rsidRPr="005914E7">
        <w:rPr>
          <w:rFonts w:cstheme="minorHAnsi"/>
        </w:rPr>
        <w:t xml:space="preserve">additionally </w:t>
      </w:r>
      <w:r w:rsidRPr="005914E7">
        <w:rPr>
          <w:rFonts w:cstheme="minorHAnsi"/>
        </w:rPr>
        <w:t xml:space="preserve">to </w:t>
      </w:r>
      <w:r w:rsidR="003932E0">
        <w:rPr>
          <w:rFonts w:cstheme="minorHAnsi"/>
        </w:rPr>
        <w:t>scale up the IEC efforts on</w:t>
      </w:r>
      <w:r w:rsidR="008B7EE4" w:rsidRPr="005914E7">
        <w:rPr>
          <w:rFonts w:cstheme="minorHAnsi"/>
        </w:rPr>
        <w:t xml:space="preserve"> malaria</w:t>
      </w:r>
      <w:r w:rsidR="008B7EE4">
        <w:rPr>
          <w:rFonts w:cstheme="minorHAnsi"/>
        </w:rPr>
        <w:t xml:space="preserve">, help </w:t>
      </w:r>
      <w:r w:rsidR="003932E0">
        <w:rPr>
          <w:rFonts w:cstheme="minorHAnsi"/>
        </w:rPr>
        <w:t>people</w:t>
      </w:r>
      <w:r w:rsidR="008B7EE4">
        <w:rPr>
          <w:rFonts w:cstheme="minorHAnsi"/>
        </w:rPr>
        <w:t xml:space="preserve"> to hang the bed nets and </w:t>
      </w:r>
      <w:r w:rsidRPr="005914E7">
        <w:rPr>
          <w:rFonts w:cstheme="minorHAnsi"/>
        </w:rPr>
        <w:t>follow up to which extent people actually use the</w:t>
      </w:r>
      <w:r w:rsidR="008B7EE4">
        <w:rPr>
          <w:rFonts w:cstheme="minorHAnsi"/>
        </w:rPr>
        <w:t>m</w:t>
      </w:r>
      <w:r w:rsidRPr="005914E7">
        <w:rPr>
          <w:rFonts w:cstheme="minorHAnsi"/>
        </w:rPr>
        <w:t>.</w:t>
      </w:r>
    </w:p>
    <w:p w:rsidR="00A54AAA" w:rsidRDefault="00A54AAA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</w:pPr>
      <w:r>
        <w:rPr>
          <w:u w:val="single"/>
        </w:rPr>
        <w:t>Redistributions between regions:</w:t>
      </w:r>
      <w:r>
        <w:t xml:space="preserve"> (=general comment across programs) While a</w:t>
      </w:r>
      <w:r w:rsidRPr="00A54AAA">
        <w:t xml:space="preserve"> Whatsapp platform exists for an exchange with all RMS in the country </w:t>
      </w:r>
      <w:r>
        <w:t>that</w:t>
      </w:r>
      <w:r w:rsidRPr="00A54AAA">
        <w:t xml:space="preserve"> is used to deal with shortages and approaching expirie</w:t>
      </w:r>
      <w:r>
        <w:t xml:space="preserve">s, </w:t>
      </w:r>
      <w:r w:rsidRPr="00A54AAA">
        <w:t xml:space="preserve"> it is perceived that </w:t>
      </w:r>
      <w:r>
        <w:t xml:space="preserve">redistribution </w:t>
      </w:r>
      <w:r w:rsidRPr="00A54AAA">
        <w:t xml:space="preserve">is primarily the </w:t>
      </w:r>
      <w:r>
        <w:t xml:space="preserve">responsibility of </w:t>
      </w:r>
      <w:r w:rsidRPr="00A54AAA">
        <w:t xml:space="preserve">programs. </w:t>
      </w:r>
      <w:r>
        <w:t>T</w:t>
      </w:r>
      <w:r w:rsidRPr="00A54AAA">
        <w:t xml:space="preserve">he </w:t>
      </w:r>
      <w:r w:rsidR="006D4FF9">
        <w:t xml:space="preserve">VR </w:t>
      </w:r>
      <w:r w:rsidRPr="00A54AAA">
        <w:t>RMS bemoans the lack of adequate and consistent response to issues identifiable in the stock reports.</w:t>
      </w:r>
    </w:p>
    <w:p w:rsidR="001E79D4" w:rsidRPr="009E1158" w:rsidRDefault="001E79D4" w:rsidP="00953FD7">
      <w:pPr>
        <w:pStyle w:val="ListParagraph"/>
        <w:numPr>
          <w:ilvl w:val="0"/>
          <w:numId w:val="8"/>
        </w:numPr>
        <w:spacing w:after="120"/>
        <w:contextualSpacing w:val="0"/>
        <w:jc w:val="both"/>
      </w:pPr>
      <w:r>
        <w:rPr>
          <w:u w:val="single"/>
        </w:rPr>
        <w:t>Complaints about commodities with short shelf life:</w:t>
      </w:r>
      <w:r>
        <w:t xml:space="preserve"> RMS announced that they will not accept any commodities with less than 6 months shelf life remaining unless in times of shortages. </w:t>
      </w:r>
      <w:r w:rsidR="00B96E6D">
        <w:t xml:space="preserve">NMCP: situation arose since RMS didn’t </w:t>
      </w:r>
      <w:r w:rsidR="001B2AA8">
        <w:t xml:space="preserve">sufficiently </w:t>
      </w:r>
      <w:r w:rsidR="00B96E6D">
        <w:t>push commodities in the past</w:t>
      </w:r>
      <w:r w:rsidR="001B2AA8">
        <w:t xml:space="preserve"> leading to risk of expiries. </w:t>
      </w:r>
    </w:p>
    <w:p w:rsidR="008F7E5C" w:rsidRPr="00953FD7" w:rsidRDefault="009E1158" w:rsidP="00953FD7">
      <w:pPr>
        <w:spacing w:after="0"/>
        <w:ind w:left="360"/>
        <w:jc w:val="both"/>
        <w:rPr>
          <w:b/>
        </w:rPr>
      </w:pPr>
      <w:r w:rsidRPr="00953FD7">
        <w:rPr>
          <w:b/>
        </w:rPr>
        <w:t xml:space="preserve">Dashboard issues: </w:t>
      </w:r>
    </w:p>
    <w:p w:rsidR="00202824" w:rsidRDefault="008F7E5C" w:rsidP="00953FD7">
      <w:pPr>
        <w:pStyle w:val="ListParagraph"/>
        <w:numPr>
          <w:ilvl w:val="0"/>
          <w:numId w:val="8"/>
        </w:numPr>
        <w:spacing w:after="0"/>
        <w:contextualSpacing w:val="0"/>
        <w:jc w:val="both"/>
      </w:pPr>
      <w:r>
        <w:rPr>
          <w:u w:val="single"/>
        </w:rPr>
        <w:t>C</w:t>
      </w:r>
      <w:r w:rsidR="009E1158" w:rsidRPr="008F7E5C">
        <w:rPr>
          <w:u w:val="single"/>
        </w:rPr>
        <w:t xml:space="preserve">hallenges </w:t>
      </w:r>
      <w:r>
        <w:rPr>
          <w:u w:val="single"/>
        </w:rPr>
        <w:t xml:space="preserve">with </w:t>
      </w:r>
      <w:r w:rsidR="00D47D80">
        <w:rPr>
          <w:u w:val="single"/>
        </w:rPr>
        <w:t xml:space="preserve">NMCP </w:t>
      </w:r>
      <w:r>
        <w:rPr>
          <w:u w:val="single"/>
        </w:rPr>
        <w:t>DB creation:</w:t>
      </w:r>
      <w:r w:rsidR="009E1158" w:rsidRPr="008F7E5C">
        <w:t xml:space="preserve"> Only one more DB to be developed for this grant</w:t>
      </w:r>
      <w:r w:rsidR="001B2AA8">
        <w:t>, then a new DB needs to be set up</w:t>
      </w:r>
      <w:r w:rsidR="009E1158" w:rsidRPr="008F7E5C">
        <w:t>.</w:t>
      </w:r>
      <w:r w:rsidR="001B2AA8">
        <w:t xml:space="preserve"> GMS support is phasing out, GF support not yet defined.</w:t>
      </w:r>
      <w:r w:rsidR="009E1158" w:rsidRPr="008F7E5C">
        <w:t xml:space="preserve"> </w:t>
      </w:r>
      <w:r w:rsidR="00B53110" w:rsidRPr="008F7E5C">
        <w:t xml:space="preserve">Way forward: </w:t>
      </w:r>
      <w:r w:rsidR="00D81BB6">
        <w:t>NMCP will look for an internal solution</w:t>
      </w:r>
      <w:r w:rsidR="00D47D80">
        <w:t xml:space="preserve"> to engage one of the local consultants.</w:t>
      </w:r>
    </w:p>
    <w:p w:rsidR="008F7E5C" w:rsidRDefault="001B2AA8" w:rsidP="00953FD7">
      <w:pPr>
        <w:pStyle w:val="ListParagraph"/>
        <w:numPr>
          <w:ilvl w:val="0"/>
          <w:numId w:val="8"/>
        </w:numPr>
        <w:contextualSpacing w:val="0"/>
        <w:jc w:val="both"/>
      </w:pPr>
      <w:r>
        <w:t>NMCP is requested to</w:t>
      </w:r>
      <w:r w:rsidR="008F7E5C">
        <w:t xml:space="preserve"> use the </w:t>
      </w:r>
      <w:r w:rsidR="00A03EA3">
        <w:t xml:space="preserve">DB </w:t>
      </w:r>
      <w:r w:rsidR="008F7E5C">
        <w:t>comment section</w:t>
      </w:r>
      <w:r w:rsidR="00A03EA3">
        <w:t>s</w:t>
      </w:r>
      <w:r w:rsidR="008F7E5C">
        <w:t xml:space="preserve"> </w:t>
      </w:r>
      <w:r>
        <w:t xml:space="preserve">for a better understanding of </w:t>
      </w:r>
      <w:r w:rsidR="008F7E5C">
        <w:t>data</w:t>
      </w:r>
      <w:r>
        <w:t>.</w:t>
      </w:r>
    </w:p>
    <w:p w:rsidR="00181487" w:rsidRPr="00E64290" w:rsidRDefault="00181487" w:rsidP="00953FD7">
      <w:pPr>
        <w:spacing w:after="0"/>
        <w:ind w:left="360"/>
        <w:jc w:val="both"/>
      </w:pPr>
      <w:r w:rsidRPr="00953FD7">
        <w:rPr>
          <w:b/>
        </w:rPr>
        <w:t xml:space="preserve">2018-2020: private sector copayments: </w:t>
      </w:r>
      <w:r w:rsidR="00E64290" w:rsidRPr="00E64290">
        <w:t xml:space="preserve">Consultant will be recruited </w:t>
      </w:r>
      <w:r w:rsidR="00E64290">
        <w:t>to assist with the strategy</w:t>
      </w:r>
    </w:p>
    <w:p w:rsidR="00CB0D39" w:rsidRPr="00C62A8F" w:rsidRDefault="00CB0D39" w:rsidP="00C62A8F">
      <w:pPr>
        <w:spacing w:after="0" w:line="240" w:lineRule="auto"/>
        <w:rPr>
          <w:color w:val="000000" w:themeColor="text1"/>
        </w:rPr>
      </w:pPr>
    </w:p>
    <w:p w:rsidR="00C1378D" w:rsidRDefault="00C1378D" w:rsidP="00C82298">
      <w:pPr>
        <w:pStyle w:val="ListParagraph"/>
        <w:spacing w:after="0" w:line="240" w:lineRule="auto"/>
        <w:ind w:left="717"/>
        <w:contextualSpacing w:val="0"/>
        <w:rPr>
          <w:color w:val="000000" w:themeColor="text1"/>
        </w:rPr>
      </w:pPr>
    </w:p>
    <w:p w:rsidR="0051550D" w:rsidRPr="0011345E" w:rsidRDefault="00E360DF" w:rsidP="00172379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b/>
        </w:rPr>
      </w:pPr>
      <w:r w:rsidRPr="00962157">
        <w:rPr>
          <w:b/>
        </w:rPr>
        <w:t>Financial Indicators: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864"/>
        <w:gridCol w:w="3197"/>
        <w:gridCol w:w="3976"/>
      </w:tblGrid>
      <w:tr w:rsidR="00392163" w:rsidTr="00566B2D">
        <w:tc>
          <w:tcPr>
            <w:tcW w:w="1864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3197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976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392163" w:rsidTr="00566B2D">
        <w:tc>
          <w:tcPr>
            <w:tcW w:w="1864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Absorption rate</w:t>
            </w:r>
          </w:p>
        </w:tc>
        <w:tc>
          <w:tcPr>
            <w:tcW w:w="3197" w:type="dxa"/>
          </w:tcPr>
          <w:p w:rsidR="00FF6CE5" w:rsidRDefault="00A506DC" w:rsidP="00630A28">
            <w:pPr>
              <w:pStyle w:val="ListParagraph"/>
              <w:spacing w:before="120"/>
              <w:ind w:left="0"/>
              <w:contextualSpacing w:val="0"/>
            </w:pPr>
            <w:r>
              <w:t xml:space="preserve">Absorption rate: </w:t>
            </w:r>
            <w:r w:rsidR="000D69F9">
              <w:t>86</w:t>
            </w:r>
            <w:r w:rsidR="00C1378D">
              <w:t>%</w:t>
            </w:r>
          </w:p>
          <w:p w:rsidR="00C1378D" w:rsidRDefault="000D69F9" w:rsidP="000567E9">
            <w:r>
              <w:t>93</w:t>
            </w:r>
            <w:r w:rsidR="004468FB">
              <w:t xml:space="preserve">m USD spent, </w:t>
            </w:r>
            <w:r>
              <w:t>20</w:t>
            </w:r>
            <w:r w:rsidR="004468FB">
              <w:t>m left until E/2017</w:t>
            </w:r>
            <w:r w:rsidR="008F7E5C">
              <w:t xml:space="preserve">. </w:t>
            </w:r>
          </w:p>
          <w:p w:rsidR="008F7E5C" w:rsidRPr="001571F6" w:rsidRDefault="008F7E5C" w:rsidP="008F7E5C">
            <w:pPr>
              <w:spacing w:before="240"/>
            </w:pPr>
            <w:r>
              <w:t>Anticipated expenditures by E/2017</w:t>
            </w:r>
          </w:p>
        </w:tc>
        <w:tc>
          <w:tcPr>
            <w:tcW w:w="3976" w:type="dxa"/>
          </w:tcPr>
          <w:p w:rsidR="00C1378D" w:rsidRDefault="00C1378D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  <w:p w:rsidR="000D69F9" w:rsidRDefault="000D69F9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  <w:p w:rsidR="000D69F9" w:rsidRDefault="000D69F9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  <w:p w:rsidR="000D69F9" w:rsidRPr="003D582F" w:rsidRDefault="000D69F9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More commodities will arrive in Q4</w:t>
            </w:r>
          </w:p>
        </w:tc>
      </w:tr>
      <w:tr w:rsidR="00392163" w:rsidTr="00566B2D">
        <w:tc>
          <w:tcPr>
            <w:tcW w:w="1864" w:type="dxa"/>
            <w:tcBorders>
              <w:bottom w:val="single" w:sz="4" w:space="0" w:color="auto"/>
            </w:tcBorders>
          </w:tcPr>
          <w:p w:rsidR="0051550D" w:rsidRDefault="0051550D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PSM data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:rsidR="0051550D" w:rsidRPr="001571F6" w:rsidRDefault="00BB662F" w:rsidP="006A4BC6">
            <w:pPr>
              <w:pStyle w:val="ListParagraph"/>
              <w:spacing w:before="120"/>
              <w:ind w:left="0"/>
              <w:contextualSpacing w:val="0"/>
            </w:pPr>
            <w:r>
              <w:t xml:space="preserve">DB incomplete. 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51550D" w:rsidRPr="004B6F55" w:rsidRDefault="00A03EA3" w:rsidP="000D69F9">
            <w:pPr>
              <w:pStyle w:val="ListParagraph"/>
              <w:spacing w:before="120"/>
              <w:ind w:left="0"/>
              <w:contextualSpacing w:val="0"/>
            </w:pPr>
            <w:r w:rsidRPr="004B6F55">
              <w:t xml:space="preserve">NMCP is requested to correct </w:t>
            </w:r>
            <w:r w:rsidR="000D69F9">
              <w:t>PSM data</w:t>
            </w:r>
          </w:p>
        </w:tc>
      </w:tr>
    </w:tbl>
    <w:p w:rsidR="005D21A8" w:rsidRDefault="005D21A8">
      <w:pPr>
        <w:rPr>
          <w:b/>
        </w:rPr>
      </w:pPr>
    </w:p>
    <w:p w:rsidR="0004237F" w:rsidRPr="0015382A" w:rsidRDefault="0004237F" w:rsidP="00172379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b/>
        </w:rPr>
      </w:pPr>
      <w:r w:rsidRPr="0015382A">
        <w:rPr>
          <w:b/>
        </w:rPr>
        <w:t xml:space="preserve">Management Indicators: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31"/>
        <w:gridCol w:w="2949"/>
        <w:gridCol w:w="4357"/>
      </w:tblGrid>
      <w:tr w:rsidR="0004237F" w:rsidTr="00392163">
        <w:tc>
          <w:tcPr>
            <w:tcW w:w="1731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49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57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04237F" w:rsidTr="00392163">
        <w:trPr>
          <w:trHeight w:val="558"/>
        </w:trPr>
        <w:tc>
          <w:tcPr>
            <w:tcW w:w="1731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Availability of commodities</w:t>
            </w:r>
          </w:p>
          <w:p w:rsidR="00591C16" w:rsidRDefault="00591C16" w:rsidP="008D5692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As stock E/</w:t>
            </w:r>
            <w:r w:rsidR="008D5692">
              <w:rPr>
                <w:b/>
              </w:rPr>
              <w:t>9</w:t>
            </w:r>
            <w:r>
              <w:rPr>
                <w:b/>
              </w:rPr>
              <w:t xml:space="preserve"> stock report</w:t>
            </w:r>
            <w:r w:rsidR="00A90B3E">
              <w:rPr>
                <w:b/>
              </w:rPr>
              <w:t xml:space="preserve"> </w:t>
            </w:r>
          </w:p>
        </w:tc>
        <w:tc>
          <w:tcPr>
            <w:tcW w:w="2949" w:type="dxa"/>
          </w:tcPr>
          <w:p w:rsidR="00096710" w:rsidRDefault="006C6C5D" w:rsidP="00D84A6F">
            <w:pPr>
              <w:pStyle w:val="ListParagraph"/>
              <w:spacing w:before="120"/>
              <w:ind w:left="0"/>
              <w:contextualSpacing w:val="0"/>
            </w:pPr>
            <w:r>
              <w:t>D</w:t>
            </w:r>
            <w:r w:rsidR="008D5692">
              <w:t xml:space="preserve">rugs </w:t>
            </w:r>
            <w:r>
              <w:t xml:space="preserve">close to expiry </w:t>
            </w:r>
            <w:r w:rsidR="008D5692">
              <w:t>distributed to private sector?</w:t>
            </w:r>
          </w:p>
          <w:p w:rsidR="008D5692" w:rsidRDefault="008D5692" w:rsidP="00D84A6F">
            <w:pPr>
              <w:pStyle w:val="ListParagraph"/>
              <w:spacing w:before="120"/>
              <w:ind w:left="0"/>
              <w:contextualSpacing w:val="0"/>
            </w:pPr>
            <w:r>
              <w:t xml:space="preserve">Expected expiries: </w:t>
            </w:r>
          </w:p>
          <w:p w:rsidR="008D5692" w:rsidRDefault="008D5692" w:rsidP="008D5692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t xml:space="preserve">WR: </w:t>
            </w:r>
            <w:r>
              <w:rPr>
                <w:rFonts w:ascii="Arial" w:hAnsi="Arial" w:cs="Arial"/>
                <w:sz w:val="20"/>
                <w:szCs w:val="20"/>
              </w:rPr>
              <w:t>AA 25/67.5</w:t>
            </w:r>
          </w:p>
          <w:p w:rsidR="008D5692" w:rsidRDefault="008D5692" w:rsidP="008D5692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UWR: AA 50/135, Quinine tab</w:t>
            </w:r>
          </w:p>
          <w:p w:rsidR="008D5692" w:rsidRPr="001E79D4" w:rsidRDefault="008D5692" w:rsidP="008D5692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E79D4">
              <w:rPr>
                <w:rFonts w:ascii="Arial" w:hAnsi="Arial" w:cs="Arial"/>
                <w:sz w:val="20"/>
                <w:szCs w:val="20"/>
                <w:lang w:val="fr-FR"/>
              </w:rPr>
              <w:t xml:space="preserve">NR: AA 100/270 (14yrs+) </w:t>
            </w:r>
            <w:proofErr w:type="spellStart"/>
            <w:r w:rsidRPr="001E79D4">
              <w:rPr>
                <w:rFonts w:ascii="Arial" w:hAnsi="Arial" w:cs="Arial"/>
                <w:sz w:val="20"/>
                <w:szCs w:val="20"/>
                <w:lang w:val="fr-FR"/>
              </w:rPr>
              <w:t>Dec</w:t>
            </w:r>
            <w:proofErr w:type="spellEnd"/>
          </w:p>
          <w:p w:rsidR="008D5692" w:rsidRPr="001E79D4" w:rsidRDefault="00A90B3E" w:rsidP="008D5692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E79D4">
              <w:rPr>
                <w:rFonts w:ascii="Arial" w:hAnsi="Arial" w:cs="Arial"/>
                <w:sz w:val="20"/>
                <w:szCs w:val="20"/>
                <w:lang w:val="fr-FR"/>
              </w:rPr>
              <w:t>AR: Quinine tab</w:t>
            </w:r>
          </w:p>
          <w:p w:rsidR="00096710" w:rsidRPr="001571F6" w:rsidRDefault="00B53110" w:rsidP="002D327F">
            <w:pPr>
              <w:pStyle w:val="ListParagraph"/>
              <w:spacing w:before="120"/>
              <w:ind w:left="0"/>
              <w:contextualSpacing w:val="0"/>
            </w:pPr>
            <w:r>
              <w:t xml:space="preserve">Status quo SP procurement? </w:t>
            </w:r>
            <w:r w:rsidRPr="00B53110">
              <w:t xml:space="preserve"> </w:t>
            </w:r>
          </w:p>
        </w:tc>
        <w:tc>
          <w:tcPr>
            <w:tcW w:w="4357" w:type="dxa"/>
          </w:tcPr>
          <w:p w:rsidR="00E71853" w:rsidRDefault="00A03EA3" w:rsidP="007461FA">
            <w:pPr>
              <w:pStyle w:val="ListParagraph"/>
              <w:spacing w:before="120"/>
              <w:ind w:left="0"/>
              <w:contextualSpacing w:val="0"/>
            </w:pPr>
            <w:r>
              <w:t>Yes</w:t>
            </w:r>
          </w:p>
          <w:p w:rsidR="00096710" w:rsidRDefault="00096710" w:rsidP="007461FA">
            <w:pPr>
              <w:pStyle w:val="ListParagraph"/>
              <w:spacing w:before="120"/>
              <w:ind w:left="0"/>
              <w:contextualSpacing w:val="0"/>
            </w:pPr>
          </w:p>
          <w:p w:rsidR="00E87B8D" w:rsidRDefault="006C6C5D" w:rsidP="007461FA">
            <w:pPr>
              <w:pStyle w:val="ListParagraph"/>
              <w:spacing w:before="120"/>
              <w:ind w:left="0"/>
              <w:contextualSpacing w:val="0"/>
            </w:pPr>
            <w:r>
              <w:t>Very likely to</w:t>
            </w:r>
            <w:r w:rsidR="004E4991">
              <w:t xml:space="preserve"> expire</w:t>
            </w:r>
          </w:p>
          <w:p w:rsidR="004E4991" w:rsidRDefault="00A03EA3" w:rsidP="007461FA">
            <w:pPr>
              <w:pStyle w:val="ListParagraph"/>
              <w:spacing w:before="120"/>
              <w:ind w:left="0"/>
              <w:contextualSpacing w:val="0"/>
            </w:pPr>
            <w:r>
              <w:t>Quinine tabs: minimal use, which is why some RMS don’t order them anymore</w:t>
            </w:r>
          </w:p>
          <w:p w:rsidR="00E87B8D" w:rsidRDefault="00E87B8D" w:rsidP="007461FA">
            <w:pPr>
              <w:pStyle w:val="ListParagraph"/>
              <w:spacing w:before="120"/>
              <w:ind w:left="0"/>
              <w:contextualSpacing w:val="0"/>
            </w:pPr>
          </w:p>
          <w:p w:rsidR="00E87B8D" w:rsidRPr="001571F6" w:rsidRDefault="00047B37" w:rsidP="00A03EA3">
            <w:pPr>
              <w:pStyle w:val="ListParagraph"/>
              <w:spacing w:before="120"/>
              <w:ind w:left="0"/>
              <w:contextualSpacing w:val="0"/>
            </w:pPr>
            <w:r>
              <w:t xml:space="preserve">PMI stock coming but huge set back because of FDA registration. Supplier </w:t>
            </w:r>
            <w:r w:rsidR="00A03EA3">
              <w:t xml:space="preserve">finally </w:t>
            </w:r>
            <w:r>
              <w:t>registered product. Earliest arrival of SPs March</w:t>
            </w:r>
            <w:r w:rsidR="00A03EA3">
              <w:t xml:space="preserve"> unless airlifted</w:t>
            </w:r>
            <w:r>
              <w:t>. Stock out expected early 2018. GoG procurement</w:t>
            </w:r>
            <w:r w:rsidR="004E4991">
              <w:t xml:space="preserve"> to be renewed</w:t>
            </w:r>
            <w:r w:rsidR="00A03EA3">
              <w:t>, not clear why next procurement not based on initial contract</w:t>
            </w:r>
            <w:r>
              <w:t>.</w:t>
            </w:r>
            <w:r w:rsidR="004E4991">
              <w:t xml:space="preserve"> </w:t>
            </w:r>
            <w:r w:rsidR="00A03EA3">
              <w:t>Laud will try to get more info</w:t>
            </w:r>
            <w:r>
              <w:t xml:space="preserve">  </w:t>
            </w:r>
          </w:p>
        </w:tc>
      </w:tr>
      <w:tr w:rsidR="00BC4450" w:rsidTr="00392163">
        <w:trPr>
          <w:trHeight w:val="558"/>
        </w:trPr>
        <w:tc>
          <w:tcPr>
            <w:tcW w:w="1731" w:type="dxa"/>
          </w:tcPr>
          <w:p w:rsidR="00BC4450" w:rsidRDefault="008F7E5C" w:rsidP="007461FA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Compliance</w:t>
            </w:r>
          </w:p>
        </w:tc>
        <w:tc>
          <w:tcPr>
            <w:tcW w:w="2949" w:type="dxa"/>
          </w:tcPr>
          <w:p w:rsidR="00BC4450" w:rsidRPr="001571F6" w:rsidRDefault="008F7E5C" w:rsidP="00D84A6F">
            <w:pPr>
              <w:pStyle w:val="ListParagraph"/>
              <w:spacing w:before="120"/>
              <w:ind w:left="0"/>
              <w:contextualSpacing w:val="0"/>
            </w:pPr>
            <w:r>
              <w:t xml:space="preserve">44 finance reports? </w:t>
            </w:r>
          </w:p>
        </w:tc>
        <w:tc>
          <w:tcPr>
            <w:tcW w:w="4357" w:type="dxa"/>
          </w:tcPr>
          <w:p w:rsidR="00BC4450" w:rsidRDefault="004E4991" w:rsidP="007461FA">
            <w:pPr>
              <w:pStyle w:val="ListParagraph"/>
              <w:spacing w:before="120"/>
              <w:ind w:left="0"/>
              <w:contextualSpacing w:val="0"/>
            </w:pPr>
            <w:r>
              <w:t xml:space="preserve">33 NGOs, 10 regional, 1 national </w:t>
            </w:r>
          </w:p>
        </w:tc>
      </w:tr>
    </w:tbl>
    <w:p w:rsidR="00E360DF" w:rsidRPr="00463ABD" w:rsidRDefault="00E360DF" w:rsidP="00172379">
      <w:pPr>
        <w:pStyle w:val="ListParagraph"/>
        <w:numPr>
          <w:ilvl w:val="0"/>
          <w:numId w:val="4"/>
        </w:numPr>
        <w:spacing w:before="360" w:after="120"/>
        <w:contextualSpacing w:val="0"/>
        <w:jc w:val="both"/>
      </w:pPr>
      <w:r w:rsidRPr="007D6E1C">
        <w:rPr>
          <w:b/>
        </w:rPr>
        <w:t>Programmatic Indicators: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00"/>
        <w:gridCol w:w="2959"/>
        <w:gridCol w:w="4378"/>
      </w:tblGrid>
      <w:tr w:rsidR="00641878" w:rsidTr="005D21A8">
        <w:tc>
          <w:tcPr>
            <w:tcW w:w="1700" w:type="dxa"/>
          </w:tcPr>
          <w:p w:rsidR="00641878" w:rsidRDefault="00641878" w:rsidP="006F645C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59" w:type="dxa"/>
          </w:tcPr>
          <w:p w:rsidR="00641878" w:rsidRDefault="00641878" w:rsidP="006F645C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78" w:type="dxa"/>
          </w:tcPr>
          <w:p w:rsidR="00641878" w:rsidRDefault="00641878" w:rsidP="006F645C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>% parasitological test</w:t>
            </w:r>
          </w:p>
        </w:tc>
        <w:tc>
          <w:tcPr>
            <w:tcW w:w="2959" w:type="dxa"/>
          </w:tcPr>
          <w:p w:rsidR="00BC4450" w:rsidRDefault="00727D94" w:rsidP="000417E6">
            <w:pPr>
              <w:pStyle w:val="ListParagraph"/>
              <w:spacing w:before="120"/>
              <w:ind w:left="0"/>
              <w:contextualSpacing w:val="0"/>
            </w:pPr>
            <w:r>
              <w:t>89% of suspected cases get tested = 111% achievement rate</w:t>
            </w:r>
          </w:p>
        </w:tc>
        <w:tc>
          <w:tcPr>
            <w:tcW w:w="4378" w:type="dxa"/>
          </w:tcPr>
          <w:p w:rsidR="0001752B" w:rsidRPr="001571F6" w:rsidRDefault="0001752B" w:rsidP="000417E6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>Coverage LLIN</w:t>
            </w:r>
          </w:p>
        </w:tc>
        <w:tc>
          <w:tcPr>
            <w:tcW w:w="2959" w:type="dxa"/>
          </w:tcPr>
          <w:p w:rsidR="001405F5" w:rsidRDefault="00727D94" w:rsidP="002B362A">
            <w:pPr>
              <w:pStyle w:val="ListParagraph"/>
              <w:spacing w:before="120"/>
              <w:ind w:left="0"/>
              <w:contextualSpacing w:val="0"/>
            </w:pPr>
            <w:r>
              <w:t xml:space="preserve">74% of pop at risk covered = 100%. </w:t>
            </w:r>
            <w:r w:rsidR="002B362A">
              <w:t>= mass distribution</w:t>
            </w:r>
          </w:p>
        </w:tc>
        <w:tc>
          <w:tcPr>
            <w:tcW w:w="4378" w:type="dxa"/>
          </w:tcPr>
          <w:p w:rsidR="00BC4450" w:rsidRPr="001571F6" w:rsidRDefault="004E4991" w:rsidP="00A03EA3">
            <w:pPr>
              <w:pStyle w:val="ListParagraph"/>
              <w:spacing w:before="120"/>
              <w:ind w:left="0"/>
              <w:contextualSpacing w:val="0"/>
            </w:pPr>
            <w:r>
              <w:t xml:space="preserve">No mass campaigns recently. </w:t>
            </w:r>
            <w:r w:rsidR="00A03EA3">
              <w:t>Indicator is based on c</w:t>
            </w:r>
            <w:r>
              <w:t xml:space="preserve">alculation of # nets </w:t>
            </w:r>
            <w:r w:rsidR="00A03EA3">
              <w:t>expected to be still in place.</w:t>
            </w:r>
            <w:r>
              <w:t xml:space="preserve"> </w:t>
            </w: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lastRenderedPageBreak/>
              <w:t># LLIN mass + continuous</w:t>
            </w:r>
          </w:p>
        </w:tc>
        <w:tc>
          <w:tcPr>
            <w:tcW w:w="2959" w:type="dxa"/>
          </w:tcPr>
          <w:p w:rsidR="00BC4450" w:rsidRDefault="00727D94" w:rsidP="002B362A">
            <w:pPr>
              <w:pStyle w:val="ListParagraph"/>
              <w:spacing w:before="120"/>
              <w:ind w:left="0"/>
              <w:contextualSpacing w:val="0"/>
            </w:pPr>
            <w:r>
              <w:t xml:space="preserve">94%. </w:t>
            </w:r>
          </w:p>
        </w:tc>
        <w:tc>
          <w:tcPr>
            <w:tcW w:w="4378" w:type="dxa"/>
          </w:tcPr>
          <w:p w:rsidR="00BC4450" w:rsidRPr="001571F6" w:rsidRDefault="00BC4450" w:rsidP="00BC4450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 xml:space="preserve">% 3+ doses of </w:t>
            </w:r>
            <w:proofErr w:type="spellStart"/>
            <w:r w:rsidRPr="003C0FB3">
              <w:rPr>
                <w:b/>
              </w:rPr>
              <w:t>IPTp</w:t>
            </w:r>
            <w:proofErr w:type="spellEnd"/>
          </w:p>
        </w:tc>
        <w:tc>
          <w:tcPr>
            <w:tcW w:w="2959" w:type="dxa"/>
          </w:tcPr>
          <w:p w:rsidR="00F1037C" w:rsidRPr="00F1037C" w:rsidRDefault="00727D94" w:rsidP="00F103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  <w:r w:rsidR="00F1037C" w:rsidRPr="00F1037C">
              <w:rPr>
                <w:color w:val="000000" w:themeColor="text1"/>
              </w:rPr>
              <w:t xml:space="preserve">% </w:t>
            </w:r>
            <w:r>
              <w:rPr>
                <w:color w:val="000000" w:themeColor="text1"/>
              </w:rPr>
              <w:t xml:space="preserve">coverage </w:t>
            </w:r>
            <w:r w:rsidR="009113D6">
              <w:rPr>
                <w:color w:val="000000" w:themeColor="text1"/>
              </w:rPr>
              <w:t>(= 69% achievement rate) but ANC4 coverage &gt;70%</w:t>
            </w:r>
            <w:r>
              <w:rPr>
                <w:color w:val="000000" w:themeColor="text1"/>
              </w:rPr>
              <w:t xml:space="preserve">. </w:t>
            </w:r>
          </w:p>
          <w:p w:rsidR="00BC4450" w:rsidRPr="001571F6" w:rsidRDefault="008F7E5C" w:rsidP="008F7E5C">
            <w:pPr>
              <w:pStyle w:val="ListParagraph"/>
              <w:spacing w:before="120"/>
              <w:ind w:left="0"/>
              <w:contextualSpacing w:val="0"/>
            </w:pPr>
            <w:r>
              <w:t>Experiences with Project champion activity?</w:t>
            </w:r>
          </w:p>
        </w:tc>
        <w:tc>
          <w:tcPr>
            <w:tcW w:w="4378" w:type="dxa"/>
          </w:tcPr>
          <w:p w:rsidR="00BC4450" w:rsidRDefault="002B362A" w:rsidP="008F7E5C">
            <w:pPr>
              <w:pStyle w:val="ListParagraph"/>
              <w:spacing w:before="120"/>
              <w:ind w:left="0"/>
              <w:contextualSpacing w:val="0"/>
            </w:pPr>
            <w:r>
              <w:t xml:space="preserve">Losses </w:t>
            </w:r>
            <w:r w:rsidR="00D47D80">
              <w:t>occur during</w:t>
            </w:r>
            <w:r>
              <w:t xml:space="preserve"> data counting. Tally book introduced in Q3 to facilitate counting</w:t>
            </w:r>
            <w:r w:rsidR="00DF1853">
              <w:t xml:space="preserve">. </w:t>
            </w:r>
          </w:p>
          <w:p w:rsidR="00DF1853" w:rsidRDefault="00DF1853" w:rsidP="008F7E5C">
            <w:pPr>
              <w:pStyle w:val="ListParagraph"/>
              <w:spacing w:before="120"/>
              <w:ind w:left="0"/>
              <w:contextualSpacing w:val="0"/>
            </w:pPr>
          </w:p>
          <w:p w:rsidR="00DF1853" w:rsidRPr="001571F6" w:rsidRDefault="00D47D80" w:rsidP="008F7E5C">
            <w:pPr>
              <w:pStyle w:val="ListParagraph"/>
              <w:spacing w:before="120"/>
              <w:ind w:left="0"/>
              <w:contextualSpacing w:val="0"/>
            </w:pPr>
            <w:r>
              <w:t>Person in charge not available for an answer.</w:t>
            </w: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% targeted risk group with ITN</w:t>
            </w:r>
          </w:p>
        </w:tc>
        <w:tc>
          <w:tcPr>
            <w:tcW w:w="2959" w:type="dxa"/>
          </w:tcPr>
          <w:p w:rsidR="00BC4450" w:rsidRDefault="000D69F9" w:rsidP="00BC4450">
            <w:pPr>
              <w:pStyle w:val="ListParagraph"/>
              <w:spacing w:before="120"/>
              <w:ind w:left="0"/>
              <w:contextualSpacing w:val="0"/>
            </w:pPr>
            <w:r>
              <w:t>119%</w:t>
            </w:r>
            <w:bookmarkStart w:id="0" w:name="_GoBack"/>
            <w:bookmarkEnd w:id="0"/>
          </w:p>
        </w:tc>
        <w:tc>
          <w:tcPr>
            <w:tcW w:w="4378" w:type="dxa"/>
          </w:tcPr>
          <w:p w:rsidR="00BC4450" w:rsidRPr="001571F6" w:rsidRDefault="00BC4450" w:rsidP="00BC4450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% ACTs among confirmed cases</w:t>
            </w:r>
          </w:p>
        </w:tc>
        <w:tc>
          <w:tcPr>
            <w:tcW w:w="2959" w:type="dxa"/>
          </w:tcPr>
          <w:p w:rsidR="00BC4450" w:rsidRDefault="000D69F9" w:rsidP="00BC4450">
            <w:pPr>
              <w:pStyle w:val="ListParagraph"/>
              <w:spacing w:before="120"/>
              <w:ind w:left="0"/>
              <w:contextualSpacing w:val="0"/>
            </w:pPr>
            <w:r>
              <w:t>100% coverage, 100% achievement</w:t>
            </w:r>
          </w:p>
        </w:tc>
        <w:tc>
          <w:tcPr>
            <w:tcW w:w="4378" w:type="dxa"/>
          </w:tcPr>
          <w:p w:rsidR="0001752B" w:rsidRPr="001571F6" w:rsidRDefault="0001752B" w:rsidP="00BC4450">
            <w:pPr>
              <w:pStyle w:val="ListParagraph"/>
              <w:spacing w:before="120"/>
              <w:ind w:left="0"/>
              <w:contextualSpacing w:val="0"/>
            </w:pPr>
          </w:p>
        </w:tc>
      </w:tr>
    </w:tbl>
    <w:p w:rsidR="00582943" w:rsidRDefault="00582943" w:rsidP="00582943">
      <w:pPr>
        <w:pStyle w:val="ListParagraph"/>
        <w:spacing w:before="120" w:after="120"/>
        <w:ind w:left="360"/>
        <w:contextualSpacing w:val="0"/>
        <w:jc w:val="both"/>
        <w:rPr>
          <w:b/>
        </w:rPr>
      </w:pPr>
    </w:p>
    <w:p w:rsidR="00B67669" w:rsidRDefault="00B67669" w:rsidP="00172379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b/>
        </w:rPr>
      </w:pPr>
      <w:r w:rsidRPr="00B67669">
        <w:rPr>
          <w:b/>
        </w:rPr>
        <w:t xml:space="preserve">Challenges anticipated within the next six months: </w:t>
      </w:r>
    </w:p>
    <w:p w:rsidR="00582943" w:rsidRDefault="00DF1853" w:rsidP="00DF1853">
      <w:pPr>
        <w:pStyle w:val="ListParagraph"/>
        <w:numPr>
          <w:ilvl w:val="0"/>
          <w:numId w:val="19"/>
        </w:numPr>
        <w:spacing w:before="120" w:after="120"/>
        <w:jc w:val="both"/>
      </w:pPr>
      <w:r>
        <w:t>SP availability</w:t>
      </w:r>
    </w:p>
    <w:p w:rsidR="00DF1853" w:rsidRDefault="00DF1853" w:rsidP="00DF1853">
      <w:pPr>
        <w:pStyle w:val="ListParagraph"/>
        <w:numPr>
          <w:ilvl w:val="0"/>
          <w:numId w:val="19"/>
        </w:numPr>
        <w:spacing w:before="120" w:after="120"/>
        <w:jc w:val="both"/>
      </w:pPr>
      <w:r>
        <w:t>Delays if grant is not signed timely</w:t>
      </w:r>
    </w:p>
    <w:p w:rsidR="00DF1853" w:rsidRPr="00F1037C" w:rsidRDefault="00DF1853" w:rsidP="00DF1853">
      <w:pPr>
        <w:pStyle w:val="ListParagraph"/>
        <w:spacing w:before="120" w:after="120"/>
        <w:jc w:val="both"/>
      </w:pPr>
    </w:p>
    <w:p w:rsidR="00E955A7" w:rsidRDefault="00E360DF" w:rsidP="00172379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</w:pPr>
      <w:r>
        <w:rPr>
          <w:b/>
        </w:rPr>
        <w:t>Recommendations:</w:t>
      </w:r>
    </w:p>
    <w:p w:rsidR="00DF1853" w:rsidRPr="00DF1853" w:rsidRDefault="00B05672" w:rsidP="009F1194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GF should support improvement of quality of locally produced ACTs</w:t>
      </w:r>
      <w:r w:rsidR="009F1194" w:rsidRPr="009F1194">
        <w:rPr>
          <w:color w:val="000000" w:themeColor="text1"/>
        </w:rPr>
        <w:t>.</w:t>
      </w:r>
      <w:r>
        <w:rPr>
          <w:color w:val="000000" w:themeColor="text1"/>
        </w:rPr>
        <w:t xml:space="preserve"> Private sector is </w:t>
      </w:r>
      <w:r w:rsidR="00A03EA3">
        <w:rPr>
          <w:color w:val="000000" w:themeColor="text1"/>
        </w:rPr>
        <w:t>already mass distributing</w:t>
      </w:r>
      <w:r>
        <w:rPr>
          <w:color w:val="000000" w:themeColor="text1"/>
        </w:rPr>
        <w:t xml:space="preserve"> locally produced ACTs.</w:t>
      </w:r>
      <w:r w:rsidR="00A03EA3">
        <w:rPr>
          <w:color w:val="000000" w:themeColor="text1"/>
        </w:rPr>
        <w:t xml:space="preserve"> Important that those provide the efficacy needed. </w:t>
      </w:r>
      <w:r>
        <w:rPr>
          <w:color w:val="000000" w:themeColor="text1"/>
        </w:rPr>
        <w:t xml:space="preserve"> </w:t>
      </w:r>
      <w:r w:rsidR="009F1194" w:rsidRPr="009F1194">
        <w:rPr>
          <w:color w:val="000000" w:themeColor="text1"/>
        </w:rPr>
        <w:t xml:space="preserve">   </w:t>
      </w:r>
    </w:p>
    <w:p w:rsidR="00DF1853" w:rsidRPr="00DF1853" w:rsidRDefault="00DF1853" w:rsidP="009F1194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 xml:space="preserve">Get more info on </w:t>
      </w:r>
      <w:r w:rsidR="005A2A86">
        <w:rPr>
          <w:color w:val="000000" w:themeColor="text1"/>
        </w:rPr>
        <w:t xml:space="preserve">status quo of the current </w:t>
      </w:r>
      <w:r>
        <w:rPr>
          <w:color w:val="000000" w:themeColor="text1"/>
        </w:rPr>
        <w:t>GoG SP</w:t>
      </w:r>
      <w:r w:rsidR="005A2A86">
        <w:rPr>
          <w:color w:val="000000" w:themeColor="text1"/>
        </w:rPr>
        <w:t xml:space="preserve"> contract and the way forward</w:t>
      </w:r>
      <w:r>
        <w:rPr>
          <w:color w:val="000000" w:themeColor="text1"/>
        </w:rPr>
        <w:t xml:space="preserve">. </w:t>
      </w:r>
    </w:p>
    <w:p w:rsidR="00DF1853" w:rsidRPr="006A5CB6" w:rsidRDefault="006A5CB6" w:rsidP="009F1194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NMCP to u</w:t>
      </w:r>
      <w:r w:rsidR="00DF1853">
        <w:rPr>
          <w:color w:val="000000" w:themeColor="text1"/>
        </w:rPr>
        <w:t xml:space="preserve">pdate </w:t>
      </w:r>
      <w:r>
        <w:rPr>
          <w:color w:val="000000" w:themeColor="text1"/>
        </w:rPr>
        <w:t xml:space="preserve">and resend </w:t>
      </w:r>
      <w:r w:rsidR="00DF1853">
        <w:rPr>
          <w:color w:val="000000" w:themeColor="text1"/>
        </w:rPr>
        <w:t>dashboard (PSM data)</w:t>
      </w:r>
    </w:p>
    <w:p w:rsidR="006A5CB6" w:rsidRPr="005A2A86" w:rsidRDefault="006A5CB6" w:rsidP="009F1194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 xml:space="preserve">NMCP is recommended by AGAMal as the highest malaria control body and independent organization to </w:t>
      </w:r>
      <w:r w:rsidR="00C30C0D">
        <w:rPr>
          <w:color w:val="000000" w:themeColor="text1"/>
        </w:rPr>
        <w:t>inform</w:t>
      </w:r>
      <w:r>
        <w:rPr>
          <w:color w:val="000000" w:themeColor="text1"/>
        </w:rPr>
        <w:t xml:space="preserve"> stakeholders </w:t>
      </w:r>
      <w:r w:rsidR="00C30C0D">
        <w:rPr>
          <w:color w:val="000000" w:themeColor="text1"/>
        </w:rPr>
        <w:t>about</w:t>
      </w:r>
      <w:r>
        <w:rPr>
          <w:color w:val="000000" w:themeColor="text1"/>
        </w:rPr>
        <w:t xml:space="preserve"> findings from the report of the alleged contamination of organic food items.</w:t>
      </w:r>
    </w:p>
    <w:p w:rsidR="005A2A86" w:rsidRPr="00DF1853" w:rsidRDefault="005A2A86" w:rsidP="009F1194">
      <w:pPr>
        <w:pStyle w:val="ListParagraph"/>
        <w:numPr>
          <w:ilvl w:val="0"/>
          <w:numId w:val="17"/>
        </w:numPr>
        <w:spacing w:before="120" w:after="120"/>
        <w:jc w:val="both"/>
      </w:pPr>
      <w:r>
        <w:t xml:space="preserve">CCM to liaise with MoH to evaluate options to accredit prison infirmaries for NHIS reimbursement.   </w:t>
      </w:r>
    </w:p>
    <w:p w:rsidR="009F1194" w:rsidRPr="009F1194" w:rsidRDefault="00A03EA3" w:rsidP="009F1194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 xml:space="preserve">GF to ensure that </w:t>
      </w:r>
      <w:r w:rsidR="00DF1853">
        <w:rPr>
          <w:color w:val="000000" w:themeColor="text1"/>
        </w:rPr>
        <w:t xml:space="preserve">local DB support </w:t>
      </w:r>
      <w:r>
        <w:rPr>
          <w:color w:val="000000" w:themeColor="text1"/>
        </w:rPr>
        <w:t>is continuously available.</w:t>
      </w:r>
      <w:r w:rsidR="009F1194" w:rsidRPr="009F1194">
        <w:rPr>
          <w:color w:val="000000" w:themeColor="text1"/>
        </w:rPr>
        <w:t xml:space="preserve"> </w:t>
      </w:r>
    </w:p>
    <w:p w:rsidR="009F1194" w:rsidRPr="009F1194" w:rsidRDefault="009F1194" w:rsidP="009F1194">
      <w:pPr>
        <w:pStyle w:val="ListParagraph"/>
        <w:spacing w:before="120" w:after="120"/>
        <w:ind w:left="810"/>
        <w:jc w:val="both"/>
      </w:pPr>
    </w:p>
    <w:p w:rsidR="00F957F5" w:rsidRPr="00980F6F" w:rsidRDefault="00F957F5" w:rsidP="00172379">
      <w:pPr>
        <w:pStyle w:val="ListParagraph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sz w:val="24"/>
          <w:szCs w:val="24"/>
        </w:rPr>
      </w:pPr>
      <w:r w:rsidRPr="00980F6F">
        <w:rPr>
          <w:b/>
          <w:sz w:val="24"/>
          <w:szCs w:val="24"/>
        </w:rPr>
        <w:t>Closing</w:t>
      </w:r>
    </w:p>
    <w:p w:rsidR="00D96870" w:rsidRDefault="00F957F5" w:rsidP="00F957F5">
      <w:pPr>
        <w:jc w:val="both"/>
      </w:pPr>
      <w:r>
        <w:t>The meeting came to a close at about</w:t>
      </w:r>
      <w:r w:rsidR="00C52295">
        <w:t xml:space="preserve"> </w:t>
      </w:r>
      <w:r w:rsidR="005B7D8C">
        <w:t>13:45</w:t>
      </w:r>
      <w:r w:rsidR="004C515E">
        <w:t xml:space="preserve"> </w:t>
      </w:r>
      <w:r w:rsidR="00C52295">
        <w:t>pm.</w:t>
      </w:r>
    </w:p>
    <w:p w:rsidR="00BF19E7" w:rsidRDefault="00BF19E7" w:rsidP="00F957F5">
      <w:pPr>
        <w:jc w:val="both"/>
      </w:pPr>
    </w:p>
    <w:sectPr w:rsidR="00BF19E7" w:rsidSect="00EA4117">
      <w:footerReference w:type="default" r:id="rId8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478" w:rsidRDefault="00CC2478" w:rsidP="007D2F92">
      <w:pPr>
        <w:spacing w:after="0" w:line="240" w:lineRule="auto"/>
      </w:pPr>
      <w:r>
        <w:separator/>
      </w:r>
    </w:p>
  </w:endnote>
  <w:endnote w:type="continuationSeparator" w:id="0">
    <w:p w:rsidR="00CC2478" w:rsidRDefault="00CC2478" w:rsidP="007D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6701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729A1" w:rsidRDefault="000847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48B">
          <w:rPr>
            <w:noProof/>
          </w:rPr>
          <w:t>1</w:t>
        </w:r>
        <w:r>
          <w:rPr>
            <w:noProof/>
          </w:rPr>
          <w:fldChar w:fldCharType="end"/>
        </w:r>
        <w:r w:rsidR="008729A1">
          <w:t xml:space="preserve"> | </w:t>
        </w:r>
        <w:r w:rsidR="008729A1">
          <w:rPr>
            <w:color w:val="808080" w:themeColor="background1" w:themeShade="80"/>
            <w:spacing w:val="60"/>
          </w:rPr>
          <w:t>Page</w:t>
        </w:r>
      </w:p>
    </w:sdtContent>
  </w:sdt>
  <w:p w:rsidR="008729A1" w:rsidRDefault="00872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478" w:rsidRDefault="00CC2478" w:rsidP="007D2F92">
      <w:pPr>
        <w:spacing w:after="0" w:line="240" w:lineRule="auto"/>
      </w:pPr>
      <w:r>
        <w:separator/>
      </w:r>
    </w:p>
  </w:footnote>
  <w:footnote w:type="continuationSeparator" w:id="0">
    <w:p w:rsidR="00CC2478" w:rsidRDefault="00CC2478" w:rsidP="007D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1806"/>
    <w:multiLevelType w:val="hybridMultilevel"/>
    <w:tmpl w:val="E052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3535"/>
    <w:multiLevelType w:val="hybridMultilevel"/>
    <w:tmpl w:val="CD52618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F4284F"/>
    <w:multiLevelType w:val="hybridMultilevel"/>
    <w:tmpl w:val="523E8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7739"/>
    <w:multiLevelType w:val="hybridMultilevel"/>
    <w:tmpl w:val="3BD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0445"/>
    <w:multiLevelType w:val="hybridMultilevel"/>
    <w:tmpl w:val="F76E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7240"/>
    <w:multiLevelType w:val="hybridMultilevel"/>
    <w:tmpl w:val="D91209DC"/>
    <w:lvl w:ilvl="0" w:tplc="BACEE5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808D3"/>
    <w:multiLevelType w:val="hybridMultilevel"/>
    <w:tmpl w:val="7B3C29FE"/>
    <w:lvl w:ilvl="0" w:tplc="FD286B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A1BC4"/>
    <w:multiLevelType w:val="hybridMultilevel"/>
    <w:tmpl w:val="47167428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52821BF9"/>
    <w:multiLevelType w:val="hybridMultilevel"/>
    <w:tmpl w:val="D14873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D607BB0"/>
    <w:multiLevelType w:val="hybridMultilevel"/>
    <w:tmpl w:val="AFAE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7D3"/>
    <w:multiLevelType w:val="hybridMultilevel"/>
    <w:tmpl w:val="E76E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272F0"/>
    <w:multiLevelType w:val="hybridMultilevel"/>
    <w:tmpl w:val="5DF881A2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17107B2"/>
    <w:multiLevelType w:val="hybridMultilevel"/>
    <w:tmpl w:val="D44031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90936"/>
    <w:multiLevelType w:val="hybridMultilevel"/>
    <w:tmpl w:val="0ED2CF0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0F10B3B"/>
    <w:multiLevelType w:val="hybridMultilevel"/>
    <w:tmpl w:val="35AC78F6"/>
    <w:lvl w:ilvl="0" w:tplc="E22099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AC0CE1"/>
    <w:multiLevelType w:val="hybridMultilevel"/>
    <w:tmpl w:val="9926D8D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6B83BD2"/>
    <w:multiLevelType w:val="hybridMultilevel"/>
    <w:tmpl w:val="71E831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80B1B2E"/>
    <w:multiLevelType w:val="hybridMultilevel"/>
    <w:tmpl w:val="F7C85C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8E54B8B"/>
    <w:multiLevelType w:val="hybridMultilevel"/>
    <w:tmpl w:val="CFEA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C0BD4"/>
    <w:multiLevelType w:val="hybridMultilevel"/>
    <w:tmpl w:val="E25C89B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6"/>
  </w:num>
  <w:num w:numId="5">
    <w:abstractNumId w:val="1"/>
  </w:num>
  <w:num w:numId="6">
    <w:abstractNumId w:val="19"/>
  </w:num>
  <w:num w:numId="7">
    <w:abstractNumId w:val="15"/>
  </w:num>
  <w:num w:numId="8">
    <w:abstractNumId w:val="0"/>
  </w:num>
  <w:num w:numId="9">
    <w:abstractNumId w:val="7"/>
  </w:num>
  <w:num w:numId="10">
    <w:abstractNumId w:val="2"/>
  </w:num>
  <w:num w:numId="11">
    <w:abstractNumId w:val="17"/>
  </w:num>
  <w:num w:numId="12">
    <w:abstractNumId w:val="3"/>
  </w:num>
  <w:num w:numId="13">
    <w:abstractNumId w:val="4"/>
  </w:num>
  <w:num w:numId="14">
    <w:abstractNumId w:val="18"/>
  </w:num>
  <w:num w:numId="15">
    <w:abstractNumId w:val="11"/>
  </w:num>
  <w:num w:numId="16">
    <w:abstractNumId w:val="10"/>
  </w:num>
  <w:num w:numId="17">
    <w:abstractNumId w:val="16"/>
  </w:num>
  <w:num w:numId="18">
    <w:abstractNumId w:val="8"/>
  </w:num>
  <w:num w:numId="19">
    <w:abstractNumId w:val="9"/>
  </w:num>
  <w:num w:numId="2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3"/>
    <w:rsid w:val="0000238B"/>
    <w:rsid w:val="00007B74"/>
    <w:rsid w:val="0001151B"/>
    <w:rsid w:val="00015E00"/>
    <w:rsid w:val="00016119"/>
    <w:rsid w:val="0001752B"/>
    <w:rsid w:val="00022A9E"/>
    <w:rsid w:val="00022E0F"/>
    <w:rsid w:val="00027F91"/>
    <w:rsid w:val="00030B1C"/>
    <w:rsid w:val="00030F66"/>
    <w:rsid w:val="000328A6"/>
    <w:rsid w:val="000334EA"/>
    <w:rsid w:val="000335D7"/>
    <w:rsid w:val="00033D3D"/>
    <w:rsid w:val="0003748B"/>
    <w:rsid w:val="000417E6"/>
    <w:rsid w:val="0004237F"/>
    <w:rsid w:val="00043AFF"/>
    <w:rsid w:val="00046F56"/>
    <w:rsid w:val="00047B37"/>
    <w:rsid w:val="00051A5D"/>
    <w:rsid w:val="00052103"/>
    <w:rsid w:val="00052CD1"/>
    <w:rsid w:val="000567E9"/>
    <w:rsid w:val="000619B3"/>
    <w:rsid w:val="000624D6"/>
    <w:rsid w:val="00064741"/>
    <w:rsid w:val="00066C73"/>
    <w:rsid w:val="00071A00"/>
    <w:rsid w:val="00072DEC"/>
    <w:rsid w:val="00072FF8"/>
    <w:rsid w:val="00073890"/>
    <w:rsid w:val="00084793"/>
    <w:rsid w:val="00090AA0"/>
    <w:rsid w:val="00092FCF"/>
    <w:rsid w:val="00096710"/>
    <w:rsid w:val="000969DD"/>
    <w:rsid w:val="000A45D3"/>
    <w:rsid w:val="000B18DD"/>
    <w:rsid w:val="000B4EF8"/>
    <w:rsid w:val="000C5AB2"/>
    <w:rsid w:val="000D0072"/>
    <w:rsid w:val="000D212F"/>
    <w:rsid w:val="000D36CD"/>
    <w:rsid w:val="000D69F9"/>
    <w:rsid w:val="000D6A4C"/>
    <w:rsid w:val="000D7177"/>
    <w:rsid w:val="000E1410"/>
    <w:rsid w:val="000E205E"/>
    <w:rsid w:val="000E3E05"/>
    <w:rsid w:val="000F084A"/>
    <w:rsid w:val="000F2954"/>
    <w:rsid w:val="000F3954"/>
    <w:rsid w:val="00100ABC"/>
    <w:rsid w:val="00103A15"/>
    <w:rsid w:val="00104381"/>
    <w:rsid w:val="0010581D"/>
    <w:rsid w:val="001119CE"/>
    <w:rsid w:val="0011295E"/>
    <w:rsid w:val="0011345E"/>
    <w:rsid w:val="001137E2"/>
    <w:rsid w:val="00113872"/>
    <w:rsid w:val="0011782F"/>
    <w:rsid w:val="00120B73"/>
    <w:rsid w:val="00120E93"/>
    <w:rsid w:val="00121BA0"/>
    <w:rsid w:val="001235BF"/>
    <w:rsid w:val="00125657"/>
    <w:rsid w:val="001257C1"/>
    <w:rsid w:val="001308D1"/>
    <w:rsid w:val="00131B07"/>
    <w:rsid w:val="001354E2"/>
    <w:rsid w:val="00136320"/>
    <w:rsid w:val="001405EA"/>
    <w:rsid w:val="001405F5"/>
    <w:rsid w:val="00140C51"/>
    <w:rsid w:val="001410F1"/>
    <w:rsid w:val="00143759"/>
    <w:rsid w:val="0014456C"/>
    <w:rsid w:val="00144B79"/>
    <w:rsid w:val="00150307"/>
    <w:rsid w:val="0015382A"/>
    <w:rsid w:val="00155032"/>
    <w:rsid w:val="00155051"/>
    <w:rsid w:val="001571F6"/>
    <w:rsid w:val="0016085F"/>
    <w:rsid w:val="001616CE"/>
    <w:rsid w:val="0016384D"/>
    <w:rsid w:val="0016493C"/>
    <w:rsid w:val="001659FE"/>
    <w:rsid w:val="00167B82"/>
    <w:rsid w:val="001707AA"/>
    <w:rsid w:val="00172379"/>
    <w:rsid w:val="00172385"/>
    <w:rsid w:val="0017266D"/>
    <w:rsid w:val="00172978"/>
    <w:rsid w:val="0017300B"/>
    <w:rsid w:val="00173106"/>
    <w:rsid w:val="0017591D"/>
    <w:rsid w:val="0017760A"/>
    <w:rsid w:val="00181487"/>
    <w:rsid w:val="00183683"/>
    <w:rsid w:val="0018603A"/>
    <w:rsid w:val="00191AB1"/>
    <w:rsid w:val="00191AD2"/>
    <w:rsid w:val="001948CE"/>
    <w:rsid w:val="001A1484"/>
    <w:rsid w:val="001A1590"/>
    <w:rsid w:val="001A2F3A"/>
    <w:rsid w:val="001A5C62"/>
    <w:rsid w:val="001B16C1"/>
    <w:rsid w:val="001B26C1"/>
    <w:rsid w:val="001B2AA8"/>
    <w:rsid w:val="001B3329"/>
    <w:rsid w:val="001B6619"/>
    <w:rsid w:val="001C4513"/>
    <w:rsid w:val="001C6EBF"/>
    <w:rsid w:val="001C70F8"/>
    <w:rsid w:val="001C7F03"/>
    <w:rsid w:val="001D386C"/>
    <w:rsid w:val="001D54F9"/>
    <w:rsid w:val="001D66FA"/>
    <w:rsid w:val="001D7D11"/>
    <w:rsid w:val="001E3AEC"/>
    <w:rsid w:val="001E4CEE"/>
    <w:rsid w:val="001E6AC9"/>
    <w:rsid w:val="001E79D4"/>
    <w:rsid w:val="001F226D"/>
    <w:rsid w:val="001F64C6"/>
    <w:rsid w:val="001F7E5F"/>
    <w:rsid w:val="00202824"/>
    <w:rsid w:val="00204810"/>
    <w:rsid w:val="00207B72"/>
    <w:rsid w:val="00210FC5"/>
    <w:rsid w:val="00217A9B"/>
    <w:rsid w:val="00220737"/>
    <w:rsid w:val="00221D1E"/>
    <w:rsid w:val="0022536D"/>
    <w:rsid w:val="00226C88"/>
    <w:rsid w:val="00230DBB"/>
    <w:rsid w:val="002349B9"/>
    <w:rsid w:val="0023515C"/>
    <w:rsid w:val="00235D4A"/>
    <w:rsid w:val="002425B3"/>
    <w:rsid w:val="00243403"/>
    <w:rsid w:val="00243C0F"/>
    <w:rsid w:val="00246328"/>
    <w:rsid w:val="00254E5A"/>
    <w:rsid w:val="0026074D"/>
    <w:rsid w:val="00260B12"/>
    <w:rsid w:val="00260D71"/>
    <w:rsid w:val="00261389"/>
    <w:rsid w:val="0026143C"/>
    <w:rsid w:val="002614DE"/>
    <w:rsid w:val="0026398B"/>
    <w:rsid w:val="00263992"/>
    <w:rsid w:val="00265594"/>
    <w:rsid w:val="002663FA"/>
    <w:rsid w:val="002742A0"/>
    <w:rsid w:val="0028266C"/>
    <w:rsid w:val="00283736"/>
    <w:rsid w:val="00296CDA"/>
    <w:rsid w:val="002A05E7"/>
    <w:rsid w:val="002A1E67"/>
    <w:rsid w:val="002A4A25"/>
    <w:rsid w:val="002A5DD9"/>
    <w:rsid w:val="002A6CB3"/>
    <w:rsid w:val="002B362A"/>
    <w:rsid w:val="002B40E0"/>
    <w:rsid w:val="002B58B7"/>
    <w:rsid w:val="002B600D"/>
    <w:rsid w:val="002C1F2A"/>
    <w:rsid w:val="002C3657"/>
    <w:rsid w:val="002C4B55"/>
    <w:rsid w:val="002D2521"/>
    <w:rsid w:val="002D327F"/>
    <w:rsid w:val="002D462E"/>
    <w:rsid w:val="002D79D8"/>
    <w:rsid w:val="002E1F44"/>
    <w:rsid w:val="002E53D4"/>
    <w:rsid w:val="002F127A"/>
    <w:rsid w:val="002F4244"/>
    <w:rsid w:val="002F43A1"/>
    <w:rsid w:val="002F46E9"/>
    <w:rsid w:val="002F666E"/>
    <w:rsid w:val="003048A5"/>
    <w:rsid w:val="003169FD"/>
    <w:rsid w:val="00323767"/>
    <w:rsid w:val="003238A0"/>
    <w:rsid w:val="00330AF3"/>
    <w:rsid w:val="00336704"/>
    <w:rsid w:val="00341992"/>
    <w:rsid w:val="0034613B"/>
    <w:rsid w:val="00347A98"/>
    <w:rsid w:val="003515CA"/>
    <w:rsid w:val="003522E6"/>
    <w:rsid w:val="0035486F"/>
    <w:rsid w:val="00365626"/>
    <w:rsid w:val="00366F1B"/>
    <w:rsid w:val="003756BB"/>
    <w:rsid w:val="003757B6"/>
    <w:rsid w:val="00376B3A"/>
    <w:rsid w:val="00383205"/>
    <w:rsid w:val="003833DF"/>
    <w:rsid w:val="0038473F"/>
    <w:rsid w:val="003855BA"/>
    <w:rsid w:val="0038630F"/>
    <w:rsid w:val="00390660"/>
    <w:rsid w:val="00390D44"/>
    <w:rsid w:val="00392163"/>
    <w:rsid w:val="003932E0"/>
    <w:rsid w:val="0039646F"/>
    <w:rsid w:val="003A0B6C"/>
    <w:rsid w:val="003A2966"/>
    <w:rsid w:val="003A5350"/>
    <w:rsid w:val="003A5E41"/>
    <w:rsid w:val="003B2030"/>
    <w:rsid w:val="003B20B8"/>
    <w:rsid w:val="003B4944"/>
    <w:rsid w:val="003B5604"/>
    <w:rsid w:val="003B58A3"/>
    <w:rsid w:val="003B5B1A"/>
    <w:rsid w:val="003C00AE"/>
    <w:rsid w:val="003C0FB3"/>
    <w:rsid w:val="003C3829"/>
    <w:rsid w:val="003C6BC3"/>
    <w:rsid w:val="003D30B4"/>
    <w:rsid w:val="003D464B"/>
    <w:rsid w:val="003D4A90"/>
    <w:rsid w:val="003D582F"/>
    <w:rsid w:val="003D62BE"/>
    <w:rsid w:val="003D72BB"/>
    <w:rsid w:val="003E0662"/>
    <w:rsid w:val="003E3CAE"/>
    <w:rsid w:val="003E554C"/>
    <w:rsid w:val="003E56B4"/>
    <w:rsid w:val="003F043E"/>
    <w:rsid w:val="003F230A"/>
    <w:rsid w:val="003F27D4"/>
    <w:rsid w:val="003F404D"/>
    <w:rsid w:val="003F712E"/>
    <w:rsid w:val="00402588"/>
    <w:rsid w:val="00403A95"/>
    <w:rsid w:val="00407E6E"/>
    <w:rsid w:val="004102B0"/>
    <w:rsid w:val="004103D7"/>
    <w:rsid w:val="004116E9"/>
    <w:rsid w:val="0041176C"/>
    <w:rsid w:val="0041178B"/>
    <w:rsid w:val="00420E00"/>
    <w:rsid w:val="00420FAD"/>
    <w:rsid w:val="00421D97"/>
    <w:rsid w:val="00421F47"/>
    <w:rsid w:val="00425879"/>
    <w:rsid w:val="00430D64"/>
    <w:rsid w:val="004339B8"/>
    <w:rsid w:val="00435CE1"/>
    <w:rsid w:val="00437D5E"/>
    <w:rsid w:val="00437D61"/>
    <w:rsid w:val="004405F5"/>
    <w:rsid w:val="00440AFB"/>
    <w:rsid w:val="00442DF8"/>
    <w:rsid w:val="00444010"/>
    <w:rsid w:val="004450CE"/>
    <w:rsid w:val="00445BFD"/>
    <w:rsid w:val="004468FB"/>
    <w:rsid w:val="00450013"/>
    <w:rsid w:val="0045012F"/>
    <w:rsid w:val="00450A82"/>
    <w:rsid w:val="00451E2B"/>
    <w:rsid w:val="00457244"/>
    <w:rsid w:val="00463ABD"/>
    <w:rsid w:val="00463D21"/>
    <w:rsid w:val="00464DBC"/>
    <w:rsid w:val="004678FE"/>
    <w:rsid w:val="00467A06"/>
    <w:rsid w:val="0047193D"/>
    <w:rsid w:val="0047227B"/>
    <w:rsid w:val="0048181D"/>
    <w:rsid w:val="004836F8"/>
    <w:rsid w:val="00486142"/>
    <w:rsid w:val="004867BF"/>
    <w:rsid w:val="00491380"/>
    <w:rsid w:val="00492396"/>
    <w:rsid w:val="0049419D"/>
    <w:rsid w:val="0049527B"/>
    <w:rsid w:val="004972C4"/>
    <w:rsid w:val="004A0128"/>
    <w:rsid w:val="004A6BDA"/>
    <w:rsid w:val="004B6F55"/>
    <w:rsid w:val="004B70A6"/>
    <w:rsid w:val="004C1FD7"/>
    <w:rsid w:val="004C515E"/>
    <w:rsid w:val="004C7046"/>
    <w:rsid w:val="004C77C0"/>
    <w:rsid w:val="004D0077"/>
    <w:rsid w:val="004D106B"/>
    <w:rsid w:val="004E1B11"/>
    <w:rsid w:val="004E4991"/>
    <w:rsid w:val="004E6666"/>
    <w:rsid w:val="0050048F"/>
    <w:rsid w:val="005033B8"/>
    <w:rsid w:val="0050600A"/>
    <w:rsid w:val="005100DE"/>
    <w:rsid w:val="00510223"/>
    <w:rsid w:val="00511756"/>
    <w:rsid w:val="00511B10"/>
    <w:rsid w:val="0051550D"/>
    <w:rsid w:val="00517F72"/>
    <w:rsid w:val="00521189"/>
    <w:rsid w:val="00521B60"/>
    <w:rsid w:val="005229E5"/>
    <w:rsid w:val="00523DD7"/>
    <w:rsid w:val="00523F77"/>
    <w:rsid w:val="005244F1"/>
    <w:rsid w:val="005246FD"/>
    <w:rsid w:val="00525BE3"/>
    <w:rsid w:val="00526FC4"/>
    <w:rsid w:val="00536A1E"/>
    <w:rsid w:val="0053774E"/>
    <w:rsid w:val="00537BBE"/>
    <w:rsid w:val="0054167A"/>
    <w:rsid w:val="0054786F"/>
    <w:rsid w:val="005479CB"/>
    <w:rsid w:val="00555530"/>
    <w:rsid w:val="005617EC"/>
    <w:rsid w:val="005643BB"/>
    <w:rsid w:val="005649AA"/>
    <w:rsid w:val="00564AEE"/>
    <w:rsid w:val="005650CD"/>
    <w:rsid w:val="00566B2D"/>
    <w:rsid w:val="00572DA5"/>
    <w:rsid w:val="00575907"/>
    <w:rsid w:val="005769CB"/>
    <w:rsid w:val="005825EF"/>
    <w:rsid w:val="00582943"/>
    <w:rsid w:val="00582D57"/>
    <w:rsid w:val="005865FF"/>
    <w:rsid w:val="00590761"/>
    <w:rsid w:val="005914E7"/>
    <w:rsid w:val="00591C16"/>
    <w:rsid w:val="00591C2C"/>
    <w:rsid w:val="00591D2B"/>
    <w:rsid w:val="00592C01"/>
    <w:rsid w:val="005A1D43"/>
    <w:rsid w:val="005A2A86"/>
    <w:rsid w:val="005A6591"/>
    <w:rsid w:val="005B211D"/>
    <w:rsid w:val="005B429F"/>
    <w:rsid w:val="005B554D"/>
    <w:rsid w:val="005B63A5"/>
    <w:rsid w:val="005B7D8C"/>
    <w:rsid w:val="005C179B"/>
    <w:rsid w:val="005C2E27"/>
    <w:rsid w:val="005C334E"/>
    <w:rsid w:val="005C4042"/>
    <w:rsid w:val="005D1F16"/>
    <w:rsid w:val="005D21A8"/>
    <w:rsid w:val="005D279B"/>
    <w:rsid w:val="005D4DD3"/>
    <w:rsid w:val="005E0007"/>
    <w:rsid w:val="005E3C41"/>
    <w:rsid w:val="005E412E"/>
    <w:rsid w:val="005E6ACB"/>
    <w:rsid w:val="005F1532"/>
    <w:rsid w:val="005F303E"/>
    <w:rsid w:val="006023C6"/>
    <w:rsid w:val="006066B4"/>
    <w:rsid w:val="006069BC"/>
    <w:rsid w:val="006109CB"/>
    <w:rsid w:val="00611535"/>
    <w:rsid w:val="006135D3"/>
    <w:rsid w:val="00613ED3"/>
    <w:rsid w:val="006146A0"/>
    <w:rsid w:val="00614763"/>
    <w:rsid w:val="00615997"/>
    <w:rsid w:val="006226FB"/>
    <w:rsid w:val="00625B83"/>
    <w:rsid w:val="00630A28"/>
    <w:rsid w:val="00635F0B"/>
    <w:rsid w:val="00636214"/>
    <w:rsid w:val="00636589"/>
    <w:rsid w:val="00636F4C"/>
    <w:rsid w:val="00637850"/>
    <w:rsid w:val="00641277"/>
    <w:rsid w:val="00641878"/>
    <w:rsid w:val="006425DF"/>
    <w:rsid w:val="00643737"/>
    <w:rsid w:val="006517B6"/>
    <w:rsid w:val="00651FAC"/>
    <w:rsid w:val="00656DF5"/>
    <w:rsid w:val="0066016D"/>
    <w:rsid w:val="006607E2"/>
    <w:rsid w:val="006609AB"/>
    <w:rsid w:val="0066304B"/>
    <w:rsid w:val="00664BA9"/>
    <w:rsid w:val="00664DAC"/>
    <w:rsid w:val="00667633"/>
    <w:rsid w:val="006717DB"/>
    <w:rsid w:val="00671C21"/>
    <w:rsid w:val="00675C99"/>
    <w:rsid w:val="00676A24"/>
    <w:rsid w:val="00677445"/>
    <w:rsid w:val="006815AE"/>
    <w:rsid w:val="0068673A"/>
    <w:rsid w:val="00690C2C"/>
    <w:rsid w:val="00693B59"/>
    <w:rsid w:val="006965DE"/>
    <w:rsid w:val="006A3696"/>
    <w:rsid w:val="006A4BC6"/>
    <w:rsid w:val="006A5CB6"/>
    <w:rsid w:val="006A650C"/>
    <w:rsid w:val="006B0876"/>
    <w:rsid w:val="006B5930"/>
    <w:rsid w:val="006C34C5"/>
    <w:rsid w:val="006C3A5F"/>
    <w:rsid w:val="006C6C5D"/>
    <w:rsid w:val="006D0126"/>
    <w:rsid w:val="006D3DFC"/>
    <w:rsid w:val="006D3F00"/>
    <w:rsid w:val="006D4620"/>
    <w:rsid w:val="006D4FF9"/>
    <w:rsid w:val="006D5CB9"/>
    <w:rsid w:val="006D7435"/>
    <w:rsid w:val="006E24FB"/>
    <w:rsid w:val="006E519A"/>
    <w:rsid w:val="006F645C"/>
    <w:rsid w:val="00700E50"/>
    <w:rsid w:val="00704BF7"/>
    <w:rsid w:val="00705AB6"/>
    <w:rsid w:val="00705E14"/>
    <w:rsid w:val="00711928"/>
    <w:rsid w:val="00711AAD"/>
    <w:rsid w:val="00711FBB"/>
    <w:rsid w:val="00713AFB"/>
    <w:rsid w:val="00720DDD"/>
    <w:rsid w:val="0072104F"/>
    <w:rsid w:val="0072466C"/>
    <w:rsid w:val="00727D94"/>
    <w:rsid w:val="00730184"/>
    <w:rsid w:val="00737161"/>
    <w:rsid w:val="00737420"/>
    <w:rsid w:val="007415F0"/>
    <w:rsid w:val="0074328E"/>
    <w:rsid w:val="007461FA"/>
    <w:rsid w:val="0075326F"/>
    <w:rsid w:val="00755673"/>
    <w:rsid w:val="0075598D"/>
    <w:rsid w:val="007621E7"/>
    <w:rsid w:val="007627A9"/>
    <w:rsid w:val="00765DB9"/>
    <w:rsid w:val="0077374D"/>
    <w:rsid w:val="00776342"/>
    <w:rsid w:val="0078164C"/>
    <w:rsid w:val="00781C2B"/>
    <w:rsid w:val="00786D6B"/>
    <w:rsid w:val="0078739C"/>
    <w:rsid w:val="00790333"/>
    <w:rsid w:val="007923FB"/>
    <w:rsid w:val="00794A7A"/>
    <w:rsid w:val="00797221"/>
    <w:rsid w:val="007B326F"/>
    <w:rsid w:val="007C7852"/>
    <w:rsid w:val="007D11AD"/>
    <w:rsid w:val="007D2F92"/>
    <w:rsid w:val="007D3D8F"/>
    <w:rsid w:val="007D4F87"/>
    <w:rsid w:val="007E0604"/>
    <w:rsid w:val="007E087F"/>
    <w:rsid w:val="007E3615"/>
    <w:rsid w:val="007E7F78"/>
    <w:rsid w:val="007F46F0"/>
    <w:rsid w:val="007F4E43"/>
    <w:rsid w:val="00801AEB"/>
    <w:rsid w:val="00805631"/>
    <w:rsid w:val="00805CE7"/>
    <w:rsid w:val="00807EA5"/>
    <w:rsid w:val="0081090E"/>
    <w:rsid w:val="008128FB"/>
    <w:rsid w:val="0081415A"/>
    <w:rsid w:val="0081555A"/>
    <w:rsid w:val="00816078"/>
    <w:rsid w:val="008264B5"/>
    <w:rsid w:val="00827F97"/>
    <w:rsid w:val="008350BF"/>
    <w:rsid w:val="00843C8E"/>
    <w:rsid w:val="008448F4"/>
    <w:rsid w:val="00845D37"/>
    <w:rsid w:val="00847F88"/>
    <w:rsid w:val="00855F27"/>
    <w:rsid w:val="00861A65"/>
    <w:rsid w:val="00864AAF"/>
    <w:rsid w:val="00865140"/>
    <w:rsid w:val="00867F7B"/>
    <w:rsid w:val="008729A1"/>
    <w:rsid w:val="00874212"/>
    <w:rsid w:val="0087518F"/>
    <w:rsid w:val="00876374"/>
    <w:rsid w:val="00880054"/>
    <w:rsid w:val="008802B3"/>
    <w:rsid w:val="008908A5"/>
    <w:rsid w:val="008908DD"/>
    <w:rsid w:val="00897749"/>
    <w:rsid w:val="008A272D"/>
    <w:rsid w:val="008A275C"/>
    <w:rsid w:val="008A6347"/>
    <w:rsid w:val="008A67FC"/>
    <w:rsid w:val="008A7042"/>
    <w:rsid w:val="008B7EE4"/>
    <w:rsid w:val="008C216F"/>
    <w:rsid w:val="008C2286"/>
    <w:rsid w:val="008C2816"/>
    <w:rsid w:val="008C283E"/>
    <w:rsid w:val="008C589B"/>
    <w:rsid w:val="008C5F37"/>
    <w:rsid w:val="008D3FCA"/>
    <w:rsid w:val="008D5692"/>
    <w:rsid w:val="008E2376"/>
    <w:rsid w:val="008E737B"/>
    <w:rsid w:val="008E7702"/>
    <w:rsid w:val="008F3CC0"/>
    <w:rsid w:val="008F7E5C"/>
    <w:rsid w:val="008F7E60"/>
    <w:rsid w:val="00902058"/>
    <w:rsid w:val="009113D6"/>
    <w:rsid w:val="00911C50"/>
    <w:rsid w:val="009123C6"/>
    <w:rsid w:val="00914524"/>
    <w:rsid w:val="009175D0"/>
    <w:rsid w:val="009179C6"/>
    <w:rsid w:val="009215F2"/>
    <w:rsid w:val="00921D9E"/>
    <w:rsid w:val="00922279"/>
    <w:rsid w:val="00922CFE"/>
    <w:rsid w:val="0092353F"/>
    <w:rsid w:val="0092379A"/>
    <w:rsid w:val="0092485A"/>
    <w:rsid w:val="009248FD"/>
    <w:rsid w:val="009415F2"/>
    <w:rsid w:val="00943026"/>
    <w:rsid w:val="009441D2"/>
    <w:rsid w:val="009502B9"/>
    <w:rsid w:val="009521DD"/>
    <w:rsid w:val="00953FD7"/>
    <w:rsid w:val="00961009"/>
    <w:rsid w:val="009774E2"/>
    <w:rsid w:val="00980F6F"/>
    <w:rsid w:val="00981BB0"/>
    <w:rsid w:val="00981DCC"/>
    <w:rsid w:val="009831AA"/>
    <w:rsid w:val="00984F3D"/>
    <w:rsid w:val="00985389"/>
    <w:rsid w:val="00985BC6"/>
    <w:rsid w:val="00995DE5"/>
    <w:rsid w:val="009A0502"/>
    <w:rsid w:val="009A1E30"/>
    <w:rsid w:val="009A3869"/>
    <w:rsid w:val="009A415B"/>
    <w:rsid w:val="009A5352"/>
    <w:rsid w:val="009A66B5"/>
    <w:rsid w:val="009A7345"/>
    <w:rsid w:val="009B1D97"/>
    <w:rsid w:val="009B3308"/>
    <w:rsid w:val="009B4DBC"/>
    <w:rsid w:val="009B4EAD"/>
    <w:rsid w:val="009B56D8"/>
    <w:rsid w:val="009B77F3"/>
    <w:rsid w:val="009D0673"/>
    <w:rsid w:val="009D16BD"/>
    <w:rsid w:val="009D5974"/>
    <w:rsid w:val="009D6A5A"/>
    <w:rsid w:val="009E0ACB"/>
    <w:rsid w:val="009E1158"/>
    <w:rsid w:val="009E3D50"/>
    <w:rsid w:val="009E497A"/>
    <w:rsid w:val="009F1194"/>
    <w:rsid w:val="009F7B9A"/>
    <w:rsid w:val="00A01648"/>
    <w:rsid w:val="00A03EA3"/>
    <w:rsid w:val="00A15382"/>
    <w:rsid w:val="00A15AFF"/>
    <w:rsid w:val="00A24793"/>
    <w:rsid w:val="00A26945"/>
    <w:rsid w:val="00A31CA5"/>
    <w:rsid w:val="00A323C9"/>
    <w:rsid w:val="00A35EC1"/>
    <w:rsid w:val="00A35F91"/>
    <w:rsid w:val="00A36069"/>
    <w:rsid w:val="00A414A7"/>
    <w:rsid w:val="00A42EDD"/>
    <w:rsid w:val="00A456BD"/>
    <w:rsid w:val="00A46068"/>
    <w:rsid w:val="00A47C50"/>
    <w:rsid w:val="00A506DC"/>
    <w:rsid w:val="00A51797"/>
    <w:rsid w:val="00A52653"/>
    <w:rsid w:val="00A52991"/>
    <w:rsid w:val="00A54AAA"/>
    <w:rsid w:val="00A570A5"/>
    <w:rsid w:val="00A6029C"/>
    <w:rsid w:val="00A670CD"/>
    <w:rsid w:val="00A67FC0"/>
    <w:rsid w:val="00A712DB"/>
    <w:rsid w:val="00A7179C"/>
    <w:rsid w:val="00A84C17"/>
    <w:rsid w:val="00A85701"/>
    <w:rsid w:val="00A85773"/>
    <w:rsid w:val="00A874E8"/>
    <w:rsid w:val="00A90691"/>
    <w:rsid w:val="00A90B3E"/>
    <w:rsid w:val="00A96449"/>
    <w:rsid w:val="00A974D4"/>
    <w:rsid w:val="00AA38D9"/>
    <w:rsid w:val="00AA7999"/>
    <w:rsid w:val="00AA7D4D"/>
    <w:rsid w:val="00AB2461"/>
    <w:rsid w:val="00AB4E29"/>
    <w:rsid w:val="00AB701C"/>
    <w:rsid w:val="00AC1AF9"/>
    <w:rsid w:val="00AC2915"/>
    <w:rsid w:val="00AC3B98"/>
    <w:rsid w:val="00AC7C01"/>
    <w:rsid w:val="00AD4D29"/>
    <w:rsid w:val="00AE238C"/>
    <w:rsid w:val="00AE2EE6"/>
    <w:rsid w:val="00AE75F2"/>
    <w:rsid w:val="00AF2058"/>
    <w:rsid w:val="00AF2B92"/>
    <w:rsid w:val="00AF3B96"/>
    <w:rsid w:val="00B017A1"/>
    <w:rsid w:val="00B05672"/>
    <w:rsid w:val="00B05674"/>
    <w:rsid w:val="00B0577C"/>
    <w:rsid w:val="00B1636C"/>
    <w:rsid w:val="00B17FC0"/>
    <w:rsid w:val="00B22F76"/>
    <w:rsid w:val="00B32CEF"/>
    <w:rsid w:val="00B353B5"/>
    <w:rsid w:val="00B4361F"/>
    <w:rsid w:val="00B53110"/>
    <w:rsid w:val="00B5692E"/>
    <w:rsid w:val="00B62291"/>
    <w:rsid w:val="00B62BA8"/>
    <w:rsid w:val="00B67669"/>
    <w:rsid w:val="00B677DD"/>
    <w:rsid w:val="00B67870"/>
    <w:rsid w:val="00B7083B"/>
    <w:rsid w:val="00B72C5A"/>
    <w:rsid w:val="00B756BE"/>
    <w:rsid w:val="00B75D9F"/>
    <w:rsid w:val="00B83902"/>
    <w:rsid w:val="00B96E6D"/>
    <w:rsid w:val="00B96F13"/>
    <w:rsid w:val="00B97D21"/>
    <w:rsid w:val="00BA6AC2"/>
    <w:rsid w:val="00BA7A2F"/>
    <w:rsid w:val="00BB393D"/>
    <w:rsid w:val="00BB4F89"/>
    <w:rsid w:val="00BB58C9"/>
    <w:rsid w:val="00BB5CAE"/>
    <w:rsid w:val="00BB662F"/>
    <w:rsid w:val="00BC1147"/>
    <w:rsid w:val="00BC197C"/>
    <w:rsid w:val="00BC41D7"/>
    <w:rsid w:val="00BC4450"/>
    <w:rsid w:val="00BC4961"/>
    <w:rsid w:val="00BC72CE"/>
    <w:rsid w:val="00BD178F"/>
    <w:rsid w:val="00BD2BB7"/>
    <w:rsid w:val="00BD4686"/>
    <w:rsid w:val="00BE174B"/>
    <w:rsid w:val="00BF19E7"/>
    <w:rsid w:val="00BF1B4A"/>
    <w:rsid w:val="00BF3C97"/>
    <w:rsid w:val="00C02ED7"/>
    <w:rsid w:val="00C1378D"/>
    <w:rsid w:val="00C139AD"/>
    <w:rsid w:val="00C1407A"/>
    <w:rsid w:val="00C141A5"/>
    <w:rsid w:val="00C1575A"/>
    <w:rsid w:val="00C159BB"/>
    <w:rsid w:val="00C20F4E"/>
    <w:rsid w:val="00C22A24"/>
    <w:rsid w:val="00C2686F"/>
    <w:rsid w:val="00C26A95"/>
    <w:rsid w:val="00C26D9F"/>
    <w:rsid w:val="00C3081A"/>
    <w:rsid w:val="00C30C0D"/>
    <w:rsid w:val="00C32562"/>
    <w:rsid w:val="00C371AD"/>
    <w:rsid w:val="00C41A70"/>
    <w:rsid w:val="00C43A4E"/>
    <w:rsid w:val="00C43FB5"/>
    <w:rsid w:val="00C51840"/>
    <w:rsid w:val="00C52295"/>
    <w:rsid w:val="00C61667"/>
    <w:rsid w:val="00C62A8F"/>
    <w:rsid w:val="00C62ECF"/>
    <w:rsid w:val="00C712E7"/>
    <w:rsid w:val="00C72CBC"/>
    <w:rsid w:val="00C73697"/>
    <w:rsid w:val="00C75836"/>
    <w:rsid w:val="00C77EEB"/>
    <w:rsid w:val="00C801B1"/>
    <w:rsid w:val="00C82298"/>
    <w:rsid w:val="00C84A49"/>
    <w:rsid w:val="00C94BDC"/>
    <w:rsid w:val="00C953C9"/>
    <w:rsid w:val="00C95D21"/>
    <w:rsid w:val="00CA0F76"/>
    <w:rsid w:val="00CA208F"/>
    <w:rsid w:val="00CA2BBE"/>
    <w:rsid w:val="00CA7AA9"/>
    <w:rsid w:val="00CB0D39"/>
    <w:rsid w:val="00CB50BE"/>
    <w:rsid w:val="00CB5D8E"/>
    <w:rsid w:val="00CC1148"/>
    <w:rsid w:val="00CC2478"/>
    <w:rsid w:val="00CC29C0"/>
    <w:rsid w:val="00CC3CAF"/>
    <w:rsid w:val="00CC3D3A"/>
    <w:rsid w:val="00CD1EFF"/>
    <w:rsid w:val="00CD2BD4"/>
    <w:rsid w:val="00CD657B"/>
    <w:rsid w:val="00CD7181"/>
    <w:rsid w:val="00CD78AD"/>
    <w:rsid w:val="00CE3F96"/>
    <w:rsid w:val="00CE53EB"/>
    <w:rsid w:val="00CE6F4A"/>
    <w:rsid w:val="00CE7653"/>
    <w:rsid w:val="00CF028F"/>
    <w:rsid w:val="00CF1724"/>
    <w:rsid w:val="00CF54E1"/>
    <w:rsid w:val="00D00315"/>
    <w:rsid w:val="00D01CE0"/>
    <w:rsid w:val="00D034C2"/>
    <w:rsid w:val="00D04175"/>
    <w:rsid w:val="00D04562"/>
    <w:rsid w:val="00D10B10"/>
    <w:rsid w:val="00D12168"/>
    <w:rsid w:val="00D137DA"/>
    <w:rsid w:val="00D13906"/>
    <w:rsid w:val="00D15348"/>
    <w:rsid w:val="00D276B3"/>
    <w:rsid w:val="00D306A8"/>
    <w:rsid w:val="00D3157F"/>
    <w:rsid w:val="00D3649E"/>
    <w:rsid w:val="00D443CC"/>
    <w:rsid w:val="00D44D8B"/>
    <w:rsid w:val="00D4503B"/>
    <w:rsid w:val="00D47135"/>
    <w:rsid w:val="00D471E6"/>
    <w:rsid w:val="00D47D80"/>
    <w:rsid w:val="00D50D90"/>
    <w:rsid w:val="00D51BE1"/>
    <w:rsid w:val="00D52C2C"/>
    <w:rsid w:val="00D5407D"/>
    <w:rsid w:val="00D54E36"/>
    <w:rsid w:val="00D60363"/>
    <w:rsid w:val="00D60D62"/>
    <w:rsid w:val="00D66B23"/>
    <w:rsid w:val="00D71077"/>
    <w:rsid w:val="00D746D9"/>
    <w:rsid w:val="00D81BB6"/>
    <w:rsid w:val="00D822EB"/>
    <w:rsid w:val="00D84A6F"/>
    <w:rsid w:val="00D85CAC"/>
    <w:rsid w:val="00D907E9"/>
    <w:rsid w:val="00D91A4D"/>
    <w:rsid w:val="00D93D8A"/>
    <w:rsid w:val="00D95407"/>
    <w:rsid w:val="00D96783"/>
    <w:rsid w:val="00D96870"/>
    <w:rsid w:val="00D97F40"/>
    <w:rsid w:val="00DA23C0"/>
    <w:rsid w:val="00DA3CCB"/>
    <w:rsid w:val="00DB21F6"/>
    <w:rsid w:val="00DB5100"/>
    <w:rsid w:val="00DC5306"/>
    <w:rsid w:val="00DC56AB"/>
    <w:rsid w:val="00DD716E"/>
    <w:rsid w:val="00DE3C19"/>
    <w:rsid w:val="00DE6531"/>
    <w:rsid w:val="00DF1853"/>
    <w:rsid w:val="00DF1D48"/>
    <w:rsid w:val="00DF26EE"/>
    <w:rsid w:val="00DF2AB5"/>
    <w:rsid w:val="00DF4E42"/>
    <w:rsid w:val="00DF5F3F"/>
    <w:rsid w:val="00DF6C3D"/>
    <w:rsid w:val="00E04B1B"/>
    <w:rsid w:val="00E06071"/>
    <w:rsid w:val="00E071B3"/>
    <w:rsid w:val="00E134CB"/>
    <w:rsid w:val="00E17B31"/>
    <w:rsid w:val="00E21894"/>
    <w:rsid w:val="00E24B4F"/>
    <w:rsid w:val="00E274DD"/>
    <w:rsid w:val="00E27978"/>
    <w:rsid w:val="00E32E73"/>
    <w:rsid w:val="00E355D8"/>
    <w:rsid w:val="00E360DF"/>
    <w:rsid w:val="00E36EA5"/>
    <w:rsid w:val="00E41290"/>
    <w:rsid w:val="00E51269"/>
    <w:rsid w:val="00E54157"/>
    <w:rsid w:val="00E6262F"/>
    <w:rsid w:val="00E64290"/>
    <w:rsid w:val="00E712BC"/>
    <w:rsid w:val="00E71853"/>
    <w:rsid w:val="00E71A91"/>
    <w:rsid w:val="00E72741"/>
    <w:rsid w:val="00E7746A"/>
    <w:rsid w:val="00E80CD3"/>
    <w:rsid w:val="00E819F1"/>
    <w:rsid w:val="00E8651A"/>
    <w:rsid w:val="00E86758"/>
    <w:rsid w:val="00E87378"/>
    <w:rsid w:val="00E87B8D"/>
    <w:rsid w:val="00E87E59"/>
    <w:rsid w:val="00E92921"/>
    <w:rsid w:val="00E95531"/>
    <w:rsid w:val="00E955A7"/>
    <w:rsid w:val="00E95808"/>
    <w:rsid w:val="00EA02DF"/>
    <w:rsid w:val="00EA2F8C"/>
    <w:rsid w:val="00EA34AA"/>
    <w:rsid w:val="00EA4117"/>
    <w:rsid w:val="00EB2119"/>
    <w:rsid w:val="00EB2164"/>
    <w:rsid w:val="00EB2FE7"/>
    <w:rsid w:val="00EB44EA"/>
    <w:rsid w:val="00EB585C"/>
    <w:rsid w:val="00EC163A"/>
    <w:rsid w:val="00EC1936"/>
    <w:rsid w:val="00EC2CB3"/>
    <w:rsid w:val="00EC7393"/>
    <w:rsid w:val="00ED227B"/>
    <w:rsid w:val="00ED5D37"/>
    <w:rsid w:val="00ED65D2"/>
    <w:rsid w:val="00EE595F"/>
    <w:rsid w:val="00EF313D"/>
    <w:rsid w:val="00EF411F"/>
    <w:rsid w:val="00EF7C50"/>
    <w:rsid w:val="00F00424"/>
    <w:rsid w:val="00F00962"/>
    <w:rsid w:val="00F01B5C"/>
    <w:rsid w:val="00F0456D"/>
    <w:rsid w:val="00F04576"/>
    <w:rsid w:val="00F1000E"/>
    <w:rsid w:val="00F1037C"/>
    <w:rsid w:val="00F14E90"/>
    <w:rsid w:val="00F15C23"/>
    <w:rsid w:val="00F202AC"/>
    <w:rsid w:val="00F21E37"/>
    <w:rsid w:val="00F250FF"/>
    <w:rsid w:val="00F27B71"/>
    <w:rsid w:val="00F27CF2"/>
    <w:rsid w:val="00F3406A"/>
    <w:rsid w:val="00F34A87"/>
    <w:rsid w:val="00F43421"/>
    <w:rsid w:val="00F44C73"/>
    <w:rsid w:val="00F46F53"/>
    <w:rsid w:val="00F50173"/>
    <w:rsid w:val="00F536B1"/>
    <w:rsid w:val="00F55C47"/>
    <w:rsid w:val="00F56913"/>
    <w:rsid w:val="00F627E7"/>
    <w:rsid w:val="00F64BCF"/>
    <w:rsid w:val="00F665A4"/>
    <w:rsid w:val="00F67B0C"/>
    <w:rsid w:val="00F7347D"/>
    <w:rsid w:val="00F77555"/>
    <w:rsid w:val="00F80656"/>
    <w:rsid w:val="00F83607"/>
    <w:rsid w:val="00F84C7F"/>
    <w:rsid w:val="00F86DF7"/>
    <w:rsid w:val="00F91C3F"/>
    <w:rsid w:val="00F931C5"/>
    <w:rsid w:val="00F94CDD"/>
    <w:rsid w:val="00F957F5"/>
    <w:rsid w:val="00F979EF"/>
    <w:rsid w:val="00FA2F4C"/>
    <w:rsid w:val="00FB074B"/>
    <w:rsid w:val="00FB11A3"/>
    <w:rsid w:val="00FB14C0"/>
    <w:rsid w:val="00FB2118"/>
    <w:rsid w:val="00FB5860"/>
    <w:rsid w:val="00FB5D0B"/>
    <w:rsid w:val="00FC35B7"/>
    <w:rsid w:val="00FC52A9"/>
    <w:rsid w:val="00FD1547"/>
    <w:rsid w:val="00FD2734"/>
    <w:rsid w:val="00FE0736"/>
    <w:rsid w:val="00FE478C"/>
    <w:rsid w:val="00FE5102"/>
    <w:rsid w:val="00FF13AA"/>
    <w:rsid w:val="00FF2552"/>
    <w:rsid w:val="00FF5F89"/>
    <w:rsid w:val="00F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1C422-9CC3-402B-9F62-DE843912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92"/>
  </w:style>
  <w:style w:type="paragraph" w:styleId="Footer">
    <w:name w:val="footer"/>
    <w:basedOn w:val="Normal"/>
    <w:link w:val="FooterChar"/>
    <w:uiPriority w:val="99"/>
    <w:unhideWhenUsed/>
    <w:rsid w:val="007D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92"/>
  </w:style>
  <w:style w:type="paragraph" w:styleId="BalloonText">
    <w:name w:val="Balloon Text"/>
    <w:basedOn w:val="Normal"/>
    <w:link w:val="BalloonTextChar"/>
    <w:uiPriority w:val="99"/>
    <w:semiHidden/>
    <w:unhideWhenUsed/>
    <w:rsid w:val="004D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4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90"/>
    <w:rPr>
      <w:b/>
      <w:bCs/>
      <w:sz w:val="20"/>
      <w:szCs w:val="20"/>
    </w:rPr>
  </w:style>
  <w:style w:type="paragraph" w:styleId="NoSpacing">
    <w:name w:val="No Spacing"/>
    <w:uiPriority w:val="1"/>
    <w:qFormat/>
    <w:rsid w:val="00BF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57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598-79B8-44D3-B243-4287E693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Faustus</dc:creator>
  <cp:lastModifiedBy>Annekatrin El Oumrany</cp:lastModifiedBy>
  <cp:revision>67</cp:revision>
  <cp:lastPrinted>2017-08-23T13:58:00Z</cp:lastPrinted>
  <dcterms:created xsi:type="dcterms:W3CDTF">2017-11-22T10:48:00Z</dcterms:created>
  <dcterms:modified xsi:type="dcterms:W3CDTF">2017-12-12T09:47:00Z</dcterms:modified>
</cp:coreProperties>
</file>