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C4" w:rsidRPr="00641E91" w:rsidRDefault="00526FC4" w:rsidP="00526FC4">
      <w:pPr>
        <w:jc w:val="center"/>
        <w:rPr>
          <w:b/>
          <w:sz w:val="28"/>
          <w:szCs w:val="28"/>
        </w:rPr>
      </w:pPr>
      <w:r w:rsidRPr="00641E91">
        <w:rPr>
          <w:b/>
          <w:sz w:val="28"/>
          <w:szCs w:val="28"/>
        </w:rPr>
        <w:t xml:space="preserve">MINUTES OF </w:t>
      </w:r>
      <w:r w:rsidR="007627A9">
        <w:rPr>
          <w:b/>
          <w:sz w:val="28"/>
          <w:szCs w:val="28"/>
        </w:rPr>
        <w:t>MALARIA</w:t>
      </w:r>
      <w:r w:rsidRPr="00641E91">
        <w:rPr>
          <w:b/>
          <w:sz w:val="28"/>
          <w:szCs w:val="28"/>
        </w:rPr>
        <w:t xml:space="preserve"> DASH BOARDS REVIEW MEETING</w:t>
      </w:r>
    </w:p>
    <w:p w:rsidR="00526FC4" w:rsidRPr="00641E91" w:rsidRDefault="00A17794" w:rsidP="00526FC4">
      <w:pPr>
        <w:jc w:val="center"/>
        <w:rPr>
          <w:b/>
        </w:rPr>
      </w:pPr>
      <w:r>
        <w:rPr>
          <w:b/>
        </w:rPr>
        <w:t>February</w:t>
      </w:r>
      <w:r w:rsidR="008A272D">
        <w:rPr>
          <w:b/>
        </w:rPr>
        <w:t xml:space="preserve"> 2</w:t>
      </w:r>
      <w:r>
        <w:rPr>
          <w:b/>
        </w:rPr>
        <w:t>2</w:t>
      </w:r>
      <w:r w:rsidRPr="00A17794">
        <w:rPr>
          <w:b/>
          <w:vertAlign w:val="superscript"/>
        </w:rPr>
        <w:t>nd</w:t>
      </w:r>
      <w:r w:rsidR="00226C88">
        <w:rPr>
          <w:b/>
        </w:rPr>
        <w:t>, 201</w:t>
      </w:r>
      <w:r>
        <w:rPr>
          <w:b/>
        </w:rPr>
        <w:t>8</w:t>
      </w:r>
      <w:r w:rsidR="00F27B71">
        <w:rPr>
          <w:b/>
        </w:rPr>
        <w:t xml:space="preserve"> </w:t>
      </w:r>
      <w:r w:rsidR="00526FC4">
        <w:rPr>
          <w:b/>
        </w:rPr>
        <w:t xml:space="preserve">at </w:t>
      </w:r>
      <w:r w:rsidR="00226C88">
        <w:rPr>
          <w:b/>
        </w:rPr>
        <w:t>the CCM Secretariat</w:t>
      </w:r>
    </w:p>
    <w:p w:rsidR="00066C73" w:rsidRPr="00D96870" w:rsidRDefault="00B5692E" w:rsidP="007D2F92">
      <w:pPr>
        <w:jc w:val="both"/>
        <w:rPr>
          <w:b/>
        </w:rPr>
      </w:pPr>
      <w:r w:rsidRPr="00D96870">
        <w:rPr>
          <w:b/>
        </w:rPr>
        <w:t>A</w:t>
      </w:r>
      <w:r w:rsidR="00526FC4">
        <w:rPr>
          <w:b/>
        </w:rPr>
        <w:t>ttendance</w:t>
      </w:r>
      <w:r w:rsidRPr="00D96870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3080"/>
        <w:gridCol w:w="2797"/>
        <w:gridCol w:w="2345"/>
      </w:tblGrid>
      <w:tr w:rsidR="00F46C63" w:rsidTr="00FF66F3">
        <w:tc>
          <w:tcPr>
            <w:tcW w:w="936" w:type="dxa"/>
          </w:tcPr>
          <w:p w:rsidR="00F46C63" w:rsidRPr="007B326F" w:rsidRDefault="00F46C63" w:rsidP="00FF66F3">
            <w:pPr>
              <w:jc w:val="both"/>
              <w:rPr>
                <w:b/>
              </w:rPr>
            </w:pPr>
            <w:r w:rsidRPr="007B326F">
              <w:rPr>
                <w:b/>
              </w:rPr>
              <w:t xml:space="preserve">No. </w:t>
            </w:r>
          </w:p>
        </w:tc>
        <w:tc>
          <w:tcPr>
            <w:tcW w:w="3080" w:type="dxa"/>
          </w:tcPr>
          <w:p w:rsidR="00F46C63" w:rsidRPr="007B326F" w:rsidRDefault="00F46C63" w:rsidP="00FF66F3">
            <w:pPr>
              <w:jc w:val="both"/>
              <w:rPr>
                <w:b/>
              </w:rPr>
            </w:pPr>
            <w:r w:rsidRPr="007B326F">
              <w:rPr>
                <w:b/>
              </w:rPr>
              <w:t>Name</w:t>
            </w:r>
          </w:p>
        </w:tc>
        <w:tc>
          <w:tcPr>
            <w:tcW w:w="2797" w:type="dxa"/>
          </w:tcPr>
          <w:p w:rsidR="00F46C63" w:rsidRPr="007B326F" w:rsidRDefault="00F46C63" w:rsidP="00FF66F3">
            <w:pPr>
              <w:jc w:val="both"/>
              <w:rPr>
                <w:b/>
              </w:rPr>
            </w:pPr>
            <w:r w:rsidRPr="007B326F">
              <w:rPr>
                <w:b/>
              </w:rPr>
              <w:t>Organization</w:t>
            </w:r>
          </w:p>
        </w:tc>
        <w:tc>
          <w:tcPr>
            <w:tcW w:w="2345" w:type="dxa"/>
          </w:tcPr>
          <w:p w:rsidR="00F46C63" w:rsidRPr="007B326F" w:rsidRDefault="00F46C63" w:rsidP="00FF66F3">
            <w:pPr>
              <w:jc w:val="both"/>
              <w:rPr>
                <w:b/>
              </w:rPr>
            </w:pPr>
            <w:r w:rsidRPr="007B326F">
              <w:rPr>
                <w:b/>
              </w:rPr>
              <w:t>Sector</w:t>
            </w:r>
          </w:p>
        </w:tc>
      </w:tr>
      <w:tr w:rsidR="00F46C63" w:rsidRPr="00CE7653" w:rsidTr="00FF66F3">
        <w:tc>
          <w:tcPr>
            <w:tcW w:w="936" w:type="dxa"/>
          </w:tcPr>
          <w:p w:rsidR="00F46C63" w:rsidRPr="0092485A" w:rsidRDefault="007019D8" w:rsidP="00FF66F3">
            <w:pPr>
              <w:jc w:val="both"/>
            </w:pPr>
            <w:r>
              <w:t>1</w:t>
            </w:r>
          </w:p>
        </w:tc>
        <w:tc>
          <w:tcPr>
            <w:tcW w:w="3080" w:type="dxa"/>
          </w:tcPr>
          <w:p w:rsidR="00F46C63" w:rsidRPr="00A66811" w:rsidRDefault="00F46C63" w:rsidP="00FF66F3">
            <w:pPr>
              <w:jc w:val="both"/>
            </w:pPr>
            <w:r w:rsidRPr="00A66811">
              <w:t>Annekatrin El Oumrany</w:t>
            </w:r>
          </w:p>
        </w:tc>
        <w:tc>
          <w:tcPr>
            <w:tcW w:w="2797" w:type="dxa"/>
          </w:tcPr>
          <w:p w:rsidR="00F46C63" w:rsidRPr="00A66811" w:rsidRDefault="00F46C63" w:rsidP="00FF66F3">
            <w:pPr>
              <w:jc w:val="both"/>
            </w:pPr>
            <w:r w:rsidRPr="00A66811">
              <w:t>CCM Secretariat</w:t>
            </w:r>
          </w:p>
        </w:tc>
        <w:tc>
          <w:tcPr>
            <w:tcW w:w="2345" w:type="dxa"/>
          </w:tcPr>
          <w:p w:rsidR="00F46C63" w:rsidRPr="00A66811" w:rsidRDefault="00F46C63" w:rsidP="00FF66F3">
            <w:pPr>
              <w:jc w:val="both"/>
            </w:pPr>
            <w:r w:rsidRPr="00A66811">
              <w:t>CCM</w:t>
            </w:r>
          </w:p>
        </w:tc>
      </w:tr>
      <w:tr w:rsidR="00F46C63" w:rsidRPr="00E36EA5" w:rsidTr="00FF66F3">
        <w:tc>
          <w:tcPr>
            <w:tcW w:w="936" w:type="dxa"/>
          </w:tcPr>
          <w:p w:rsidR="00F46C63" w:rsidRPr="0092485A" w:rsidRDefault="007019D8" w:rsidP="00FF66F3">
            <w:pPr>
              <w:jc w:val="both"/>
            </w:pPr>
            <w:r>
              <w:t>2</w:t>
            </w:r>
          </w:p>
        </w:tc>
        <w:tc>
          <w:tcPr>
            <w:tcW w:w="3080" w:type="dxa"/>
          </w:tcPr>
          <w:p w:rsidR="00F46C63" w:rsidRPr="00A66811" w:rsidRDefault="00F46C63" w:rsidP="00FF66F3">
            <w:pPr>
              <w:jc w:val="both"/>
            </w:pPr>
            <w:r w:rsidRPr="00C553C2">
              <w:t>Wahjib Mohamed</w:t>
            </w:r>
          </w:p>
        </w:tc>
        <w:tc>
          <w:tcPr>
            <w:tcW w:w="2797" w:type="dxa"/>
          </w:tcPr>
          <w:p w:rsidR="00F46C63" w:rsidRPr="00A66811" w:rsidRDefault="00F46C63" w:rsidP="00FF66F3">
            <w:pPr>
              <w:jc w:val="both"/>
            </w:pPr>
            <w:r>
              <w:t>NMCP</w:t>
            </w:r>
          </w:p>
        </w:tc>
        <w:tc>
          <w:tcPr>
            <w:tcW w:w="2345" w:type="dxa"/>
          </w:tcPr>
          <w:p w:rsidR="00F46C63" w:rsidRDefault="00F46C63" w:rsidP="00FF66F3">
            <w:r w:rsidRPr="0007240B">
              <w:t>PR / Government</w:t>
            </w:r>
          </w:p>
        </w:tc>
      </w:tr>
      <w:tr w:rsidR="00F46C63" w:rsidRPr="00BB58C9" w:rsidTr="00FF66F3">
        <w:trPr>
          <w:trHeight w:val="267"/>
        </w:trPr>
        <w:tc>
          <w:tcPr>
            <w:tcW w:w="936" w:type="dxa"/>
          </w:tcPr>
          <w:p w:rsidR="00F46C63" w:rsidRPr="002D2521" w:rsidRDefault="007019D8" w:rsidP="00FF66F3">
            <w:pPr>
              <w:jc w:val="both"/>
            </w:pPr>
            <w:r>
              <w:t>3</w:t>
            </w:r>
          </w:p>
        </w:tc>
        <w:tc>
          <w:tcPr>
            <w:tcW w:w="3080" w:type="dxa"/>
          </w:tcPr>
          <w:p w:rsidR="00F46C63" w:rsidRPr="00A66811" w:rsidRDefault="00F46C63" w:rsidP="00FF66F3">
            <w:pPr>
              <w:jc w:val="both"/>
            </w:pPr>
            <w:r>
              <w:t>Joel Balbaare</w:t>
            </w:r>
          </w:p>
        </w:tc>
        <w:tc>
          <w:tcPr>
            <w:tcW w:w="2797" w:type="dxa"/>
          </w:tcPr>
          <w:p w:rsidR="00F46C63" w:rsidRPr="00A66811" w:rsidRDefault="00F46C63" w:rsidP="00FF66F3">
            <w:pPr>
              <w:jc w:val="both"/>
            </w:pPr>
            <w:r>
              <w:t>NMCP</w:t>
            </w:r>
          </w:p>
        </w:tc>
        <w:tc>
          <w:tcPr>
            <w:tcW w:w="2345" w:type="dxa"/>
          </w:tcPr>
          <w:p w:rsidR="00F46C63" w:rsidRDefault="00F46C63" w:rsidP="00FF66F3">
            <w:r w:rsidRPr="0007240B">
              <w:t>PR / Government</w:t>
            </w:r>
          </w:p>
        </w:tc>
      </w:tr>
      <w:tr w:rsidR="00F46C63" w:rsidTr="00FF66F3">
        <w:tc>
          <w:tcPr>
            <w:tcW w:w="936" w:type="dxa"/>
          </w:tcPr>
          <w:p w:rsidR="00F46C63" w:rsidRPr="0092485A" w:rsidRDefault="007019D8" w:rsidP="00FF66F3">
            <w:pPr>
              <w:jc w:val="both"/>
            </w:pPr>
            <w:r>
              <w:t>4</w:t>
            </w:r>
          </w:p>
        </w:tc>
        <w:tc>
          <w:tcPr>
            <w:tcW w:w="3080" w:type="dxa"/>
            <w:vAlign w:val="center"/>
          </w:tcPr>
          <w:p w:rsidR="00F46C63" w:rsidRPr="00A66811" w:rsidRDefault="00F46C63" w:rsidP="00FF66F3">
            <w:r w:rsidRPr="00A66811">
              <w:t>Dr. Felicia Owusu-Antwi</w:t>
            </w:r>
          </w:p>
        </w:tc>
        <w:tc>
          <w:tcPr>
            <w:tcW w:w="2797" w:type="dxa"/>
            <w:vAlign w:val="center"/>
          </w:tcPr>
          <w:p w:rsidR="00F46C63" w:rsidRPr="00A66811" w:rsidRDefault="00F46C63" w:rsidP="00FF66F3">
            <w:pPr>
              <w:jc w:val="both"/>
            </w:pPr>
            <w:r w:rsidRPr="00A66811">
              <w:t>WHO</w:t>
            </w:r>
          </w:p>
        </w:tc>
        <w:tc>
          <w:tcPr>
            <w:tcW w:w="2345" w:type="dxa"/>
          </w:tcPr>
          <w:p w:rsidR="00F46C63" w:rsidRPr="00A66811" w:rsidRDefault="00F46C63" w:rsidP="00FF66F3">
            <w:pPr>
              <w:jc w:val="both"/>
            </w:pPr>
            <w:r w:rsidRPr="00A66811">
              <w:t xml:space="preserve">OC / </w:t>
            </w:r>
            <w:r>
              <w:t>Co-opted member</w:t>
            </w:r>
          </w:p>
        </w:tc>
      </w:tr>
      <w:tr w:rsidR="00A17794" w:rsidTr="00F5216B">
        <w:tc>
          <w:tcPr>
            <w:tcW w:w="936" w:type="dxa"/>
          </w:tcPr>
          <w:p w:rsidR="00A17794" w:rsidRPr="0092485A" w:rsidRDefault="007019D8" w:rsidP="00A17794">
            <w:pPr>
              <w:jc w:val="both"/>
            </w:pPr>
            <w:r>
              <w:t>5</w:t>
            </w:r>
          </w:p>
        </w:tc>
        <w:tc>
          <w:tcPr>
            <w:tcW w:w="3080" w:type="dxa"/>
            <w:vAlign w:val="center"/>
          </w:tcPr>
          <w:p w:rsidR="00A17794" w:rsidRPr="00A66811" w:rsidRDefault="00A17794" w:rsidP="00A17794">
            <w:pPr>
              <w:jc w:val="both"/>
            </w:pPr>
            <w:r>
              <w:t xml:space="preserve">Sixte </w:t>
            </w:r>
            <w:r w:rsidRPr="0068673A">
              <w:t>Zigirumugabe</w:t>
            </w:r>
          </w:p>
        </w:tc>
        <w:tc>
          <w:tcPr>
            <w:tcW w:w="2797" w:type="dxa"/>
          </w:tcPr>
          <w:p w:rsidR="00A17794" w:rsidRPr="00A66811" w:rsidRDefault="00A17794" w:rsidP="00A17794">
            <w:pPr>
              <w:jc w:val="both"/>
            </w:pPr>
            <w:r>
              <w:t>USAID/PMI</w:t>
            </w:r>
          </w:p>
        </w:tc>
        <w:tc>
          <w:tcPr>
            <w:tcW w:w="2345" w:type="dxa"/>
          </w:tcPr>
          <w:p w:rsidR="00A17794" w:rsidRPr="00A66811" w:rsidRDefault="00A17794" w:rsidP="00A17794">
            <w:pPr>
              <w:jc w:val="both"/>
            </w:pPr>
            <w:r>
              <w:t>OC / Bilateral</w:t>
            </w:r>
          </w:p>
        </w:tc>
      </w:tr>
    </w:tbl>
    <w:p w:rsidR="005C4042" w:rsidRDefault="005C4042" w:rsidP="007D2F92">
      <w:pPr>
        <w:jc w:val="both"/>
      </w:pPr>
    </w:p>
    <w:p w:rsidR="00167B82" w:rsidRPr="00167B82" w:rsidRDefault="00167B82" w:rsidP="007D2F92">
      <w:pPr>
        <w:jc w:val="both"/>
        <w:rPr>
          <w:b/>
        </w:rPr>
      </w:pPr>
      <w:r w:rsidRPr="00167B82">
        <w:rPr>
          <w:b/>
        </w:rPr>
        <w:t>Absence: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16"/>
        <w:gridCol w:w="2610"/>
        <w:gridCol w:w="2340"/>
        <w:gridCol w:w="1181"/>
      </w:tblGrid>
      <w:tr w:rsidR="00167B82" w:rsidTr="00B62BA8">
        <w:tc>
          <w:tcPr>
            <w:tcW w:w="562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 xml:space="preserve">No. </w:t>
            </w:r>
          </w:p>
        </w:tc>
        <w:tc>
          <w:tcPr>
            <w:tcW w:w="2516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>Name</w:t>
            </w:r>
          </w:p>
        </w:tc>
        <w:tc>
          <w:tcPr>
            <w:tcW w:w="2610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>Organization</w:t>
            </w:r>
          </w:p>
        </w:tc>
        <w:tc>
          <w:tcPr>
            <w:tcW w:w="2340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 w:rsidRPr="007B326F">
              <w:rPr>
                <w:b/>
              </w:rPr>
              <w:t>Sector</w:t>
            </w:r>
          </w:p>
        </w:tc>
        <w:tc>
          <w:tcPr>
            <w:tcW w:w="1181" w:type="dxa"/>
          </w:tcPr>
          <w:p w:rsidR="00167B82" w:rsidRPr="007B326F" w:rsidRDefault="00167B82" w:rsidP="00403A95">
            <w:pPr>
              <w:jc w:val="both"/>
              <w:rPr>
                <w:b/>
              </w:rPr>
            </w:pPr>
            <w:r>
              <w:rPr>
                <w:b/>
              </w:rPr>
              <w:t xml:space="preserve">Reason </w:t>
            </w:r>
          </w:p>
        </w:tc>
      </w:tr>
      <w:tr w:rsidR="00A17794" w:rsidTr="00465C56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794" w:rsidRPr="00052CD1" w:rsidRDefault="00A17794" w:rsidP="00A177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7794" w:rsidRPr="00A66811" w:rsidRDefault="00A17794" w:rsidP="00A17794">
            <w:pPr>
              <w:jc w:val="both"/>
            </w:pPr>
            <w:r w:rsidRPr="00A66811">
              <w:t>Laud Baddoo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7794" w:rsidRPr="00A66811" w:rsidRDefault="00A17794" w:rsidP="00A17794">
            <w:pPr>
              <w:jc w:val="both"/>
            </w:pPr>
            <w:r w:rsidRPr="00A66811">
              <w:t>JSI Deliver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17794" w:rsidRPr="00A66811" w:rsidRDefault="00A17794" w:rsidP="00A17794">
            <w:pPr>
              <w:jc w:val="both"/>
            </w:pPr>
            <w:r w:rsidRPr="00A66811">
              <w:t>OC / Co-opted member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17794" w:rsidRDefault="00A17794" w:rsidP="00A177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Mission</w:t>
            </w:r>
          </w:p>
        </w:tc>
      </w:tr>
      <w:tr w:rsidR="00A17794" w:rsidTr="008B1E94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794" w:rsidRPr="00052CD1" w:rsidRDefault="00A17794" w:rsidP="00A177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794" w:rsidRPr="00B62BA8" w:rsidRDefault="00A17794" w:rsidP="00A17794">
            <w:r w:rsidRPr="00B62BA8">
              <w:t xml:space="preserve">Dr. Naa Ashiley </w:t>
            </w:r>
            <w:proofErr w:type="spellStart"/>
            <w:r w:rsidRPr="00B62BA8">
              <w:t>Vanderpuye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794" w:rsidRPr="00A66811" w:rsidRDefault="00A17794" w:rsidP="00A17794">
            <w:pPr>
              <w:jc w:val="both"/>
            </w:pPr>
            <w:r>
              <w:t>Stop TB Partnership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17794" w:rsidRPr="00A66811" w:rsidRDefault="00A17794" w:rsidP="00A17794">
            <w:pPr>
              <w:jc w:val="both"/>
            </w:pPr>
            <w:r>
              <w:t>KAP (TB) / NGO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17794" w:rsidRDefault="00A17794" w:rsidP="00A177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Abroad</w:t>
            </w:r>
          </w:p>
        </w:tc>
      </w:tr>
      <w:tr w:rsidR="007019D8" w:rsidTr="00816BE5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19D8" w:rsidRPr="00052CD1" w:rsidRDefault="007019D8" w:rsidP="007019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19D8" w:rsidRPr="00A66811" w:rsidRDefault="007019D8" w:rsidP="007019D8">
            <w:pPr>
              <w:jc w:val="both"/>
            </w:pPr>
            <w:r w:rsidRPr="00A66811">
              <w:t>Samuel Dodoo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19D8" w:rsidRPr="00A66811" w:rsidRDefault="007019D8" w:rsidP="007019D8">
            <w:pPr>
              <w:jc w:val="both"/>
            </w:pPr>
            <w:r w:rsidRPr="00A66811">
              <w:t>Media Response – Stop TB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019D8" w:rsidRPr="00A66811" w:rsidRDefault="007019D8" w:rsidP="007019D8">
            <w:pPr>
              <w:jc w:val="both"/>
            </w:pPr>
            <w:r w:rsidRPr="00A66811">
              <w:t>OC / NGO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019D8" w:rsidRDefault="007019D8" w:rsidP="007019D8">
            <w:pPr>
              <w:rPr>
                <w:color w:val="000000" w:themeColor="text1"/>
              </w:rPr>
            </w:pPr>
          </w:p>
        </w:tc>
      </w:tr>
      <w:tr w:rsidR="007019D8" w:rsidTr="00B62BA8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19D8" w:rsidRDefault="007019D8" w:rsidP="007019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19D8" w:rsidRPr="00A66811" w:rsidRDefault="007019D8" w:rsidP="007019D8">
            <w:r>
              <w:t xml:space="preserve">Dr. Sebastian </w:t>
            </w:r>
            <w:proofErr w:type="spellStart"/>
            <w:r>
              <w:t>Sandaare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19D8" w:rsidRPr="00A66811" w:rsidRDefault="007019D8" w:rsidP="007019D8">
            <w:pPr>
              <w:jc w:val="both"/>
            </w:pPr>
            <w:r>
              <w:t>District Health Directorate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019D8" w:rsidRPr="00A66811" w:rsidRDefault="007019D8" w:rsidP="007019D8">
            <w:pPr>
              <w:jc w:val="both"/>
            </w:pPr>
            <w:r>
              <w:t>OC / PLWD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019D8" w:rsidRDefault="007019D8" w:rsidP="007019D8">
            <w:pPr>
              <w:rPr>
                <w:color w:val="000000" w:themeColor="text1"/>
              </w:rPr>
            </w:pPr>
          </w:p>
        </w:tc>
      </w:tr>
      <w:tr w:rsidR="007019D8" w:rsidTr="00B30DCA">
        <w:tc>
          <w:tcPr>
            <w:tcW w:w="5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19D8" w:rsidRDefault="007019D8" w:rsidP="007019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19D8" w:rsidRPr="00A66811" w:rsidRDefault="007019D8" w:rsidP="007019D8">
            <w:pPr>
              <w:jc w:val="both"/>
            </w:pPr>
            <w:r>
              <w:t>Dan Epeh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19D8" w:rsidRPr="00A66811" w:rsidRDefault="007019D8" w:rsidP="007019D8">
            <w:pPr>
              <w:jc w:val="both"/>
            </w:pPr>
            <w:r>
              <w:t>GAC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019D8" w:rsidRPr="00A66811" w:rsidRDefault="007019D8" w:rsidP="007019D8">
            <w:pPr>
              <w:jc w:val="both"/>
            </w:pPr>
            <w:r w:rsidRPr="00A66811">
              <w:t>OC / Co-opted member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019D8" w:rsidRDefault="007019D8" w:rsidP="007019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Excused</w:t>
            </w:r>
          </w:p>
        </w:tc>
      </w:tr>
    </w:tbl>
    <w:p w:rsidR="002A6CB3" w:rsidRDefault="002A6CB3">
      <w:pPr>
        <w:rPr>
          <w:b/>
          <w:sz w:val="24"/>
          <w:szCs w:val="24"/>
        </w:rPr>
      </w:pPr>
    </w:p>
    <w:p w:rsidR="00F957F5" w:rsidRPr="00962157" w:rsidRDefault="00F957F5" w:rsidP="00172379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62157">
        <w:rPr>
          <w:b/>
          <w:sz w:val="24"/>
          <w:szCs w:val="24"/>
        </w:rPr>
        <w:t>Opening:</w:t>
      </w:r>
    </w:p>
    <w:p w:rsidR="00F957F5" w:rsidRDefault="00F957F5" w:rsidP="00F957F5">
      <w:pPr>
        <w:jc w:val="both"/>
      </w:pPr>
      <w:r>
        <w:t xml:space="preserve">The meeting started at </w:t>
      </w:r>
      <w:r w:rsidR="00FB2118">
        <w:t>9:</w:t>
      </w:r>
      <w:r w:rsidR="00A17794">
        <w:t>00</w:t>
      </w:r>
      <w:r w:rsidR="00FB2118">
        <w:t xml:space="preserve"> am</w:t>
      </w:r>
      <w:r w:rsidR="00C159BB">
        <w:t xml:space="preserve"> </w:t>
      </w:r>
      <w:r w:rsidR="00A17794">
        <w:t>immediately with NMCP</w:t>
      </w:r>
      <w:r w:rsidR="00BD178F">
        <w:t>.</w:t>
      </w:r>
      <w:r w:rsidR="00A17794">
        <w:t xml:space="preserve"> The meeting </w:t>
      </w:r>
      <w:r w:rsidR="007019D8">
        <w:t>was</w:t>
      </w:r>
      <w:r w:rsidR="00A17794">
        <w:t xml:space="preserve"> expected to finish within one hour due to the subsequent GF boot camp for PRs which is why the session for internal members was skipped. </w:t>
      </w:r>
      <w:r w:rsidR="00BD178F">
        <w:t xml:space="preserve"> </w:t>
      </w:r>
    </w:p>
    <w:p w:rsidR="00F46F53" w:rsidRDefault="00F46F53" w:rsidP="00172379">
      <w:pPr>
        <w:numPr>
          <w:ilvl w:val="0"/>
          <w:numId w:val="3"/>
        </w:numPr>
        <w:tabs>
          <w:tab w:val="num" w:pos="720"/>
        </w:tabs>
        <w:spacing w:after="0"/>
        <w:jc w:val="both"/>
        <w:rPr>
          <w:b/>
        </w:rPr>
      </w:pPr>
      <w:r w:rsidRPr="001C13E1">
        <w:rPr>
          <w:b/>
        </w:rPr>
        <w:t xml:space="preserve">Conflict of interest </w:t>
      </w:r>
    </w:p>
    <w:p w:rsidR="00636F4C" w:rsidRDefault="00FB2118" w:rsidP="00F46F53">
      <w:pPr>
        <w:spacing w:after="0"/>
        <w:ind w:left="360"/>
        <w:jc w:val="both"/>
      </w:pPr>
      <w:r>
        <w:t>Annekatrin El Oumrany</w:t>
      </w:r>
      <w:r w:rsidR="00BD178F">
        <w:t xml:space="preserve"> </w:t>
      </w:r>
      <w:r w:rsidR="00F46F53">
        <w:t xml:space="preserve">asked the </w:t>
      </w:r>
      <w:r w:rsidR="00BD178F">
        <w:t xml:space="preserve">oversight committee members present </w:t>
      </w:r>
      <w:r w:rsidR="00F46F53">
        <w:t xml:space="preserve">if they had any </w:t>
      </w:r>
      <w:r w:rsidR="005B429F">
        <w:t xml:space="preserve">potential or actual </w:t>
      </w:r>
      <w:r w:rsidR="00F46F53">
        <w:t>conflict of interest in relation to the malaria dashboard revi</w:t>
      </w:r>
      <w:r w:rsidR="008A272D">
        <w:t>ew or other items of the agenda</w:t>
      </w:r>
      <w:r w:rsidR="005B429F">
        <w:t xml:space="preserve">. </w:t>
      </w:r>
      <w:r w:rsidR="00BD178F">
        <w:t xml:space="preserve"> All members present responded that they had no conflict of interest.</w:t>
      </w:r>
    </w:p>
    <w:p w:rsidR="00C159BB" w:rsidRPr="00C159BB" w:rsidRDefault="00C159BB" w:rsidP="00A17794">
      <w:pPr>
        <w:spacing w:after="0"/>
        <w:jc w:val="both"/>
      </w:pPr>
    </w:p>
    <w:p w:rsidR="008A272D" w:rsidRDefault="00827F97" w:rsidP="00172379">
      <w:pPr>
        <w:numPr>
          <w:ilvl w:val="0"/>
          <w:numId w:val="3"/>
        </w:numPr>
        <w:tabs>
          <w:tab w:val="num" w:pos="720"/>
        </w:tabs>
        <w:spacing w:after="0"/>
        <w:jc w:val="both"/>
        <w:rPr>
          <w:b/>
        </w:rPr>
      </w:pPr>
      <w:r>
        <w:rPr>
          <w:b/>
        </w:rPr>
        <w:t>Feedback from the field</w:t>
      </w:r>
      <w:r w:rsidR="00064741">
        <w:rPr>
          <w:b/>
        </w:rPr>
        <w:t xml:space="preserve"> </w:t>
      </w:r>
      <w:r w:rsidR="00A17794">
        <w:rPr>
          <w:b/>
        </w:rPr>
        <w:t>/</w:t>
      </w:r>
      <w:r w:rsidR="00064741">
        <w:rPr>
          <w:b/>
        </w:rPr>
        <w:t xml:space="preserve"> </w:t>
      </w:r>
      <w:r w:rsidR="002B40E0">
        <w:rPr>
          <w:b/>
        </w:rPr>
        <w:t xml:space="preserve">site visit to </w:t>
      </w:r>
      <w:r w:rsidR="00A17794">
        <w:rPr>
          <w:b/>
        </w:rPr>
        <w:t>Brong Ahafo</w:t>
      </w:r>
      <w:r w:rsidR="002B40E0">
        <w:rPr>
          <w:b/>
        </w:rPr>
        <w:t xml:space="preserve"> </w:t>
      </w:r>
    </w:p>
    <w:p w:rsidR="008A272D" w:rsidRPr="000D36CD" w:rsidRDefault="002349B9" w:rsidP="000D36CD">
      <w:pPr>
        <w:spacing w:after="0"/>
        <w:ind w:left="360"/>
        <w:jc w:val="both"/>
      </w:pPr>
      <w:r>
        <w:t xml:space="preserve">Annekatrin informed the members about the site visit to </w:t>
      </w:r>
      <w:r w:rsidR="007019D8">
        <w:t>Brong Ahafo</w:t>
      </w:r>
      <w:r>
        <w:t xml:space="preserve"> Region in </w:t>
      </w:r>
      <w:r w:rsidR="007019D8">
        <w:t>Decem</w:t>
      </w:r>
      <w:r>
        <w:t>ber 2017.</w:t>
      </w:r>
      <w:r w:rsidR="000D36CD">
        <w:t xml:space="preserve"> The full information can be found in the NMCP section.</w:t>
      </w:r>
      <w:r>
        <w:t xml:space="preserve"> </w:t>
      </w:r>
    </w:p>
    <w:p w:rsidR="001B26C1" w:rsidRDefault="009A0502" w:rsidP="00172379">
      <w:pPr>
        <w:pStyle w:val="ListParagraph"/>
        <w:numPr>
          <w:ilvl w:val="0"/>
          <w:numId w:val="1"/>
        </w:numPr>
        <w:spacing w:before="36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AGA</w:t>
      </w:r>
      <w:r w:rsidR="00F627E7" w:rsidRPr="00FE0736">
        <w:rPr>
          <w:b/>
          <w:sz w:val="24"/>
          <w:szCs w:val="24"/>
        </w:rPr>
        <w:t>Mal</w:t>
      </w:r>
    </w:p>
    <w:p w:rsidR="00B05674" w:rsidRDefault="00A17794" w:rsidP="007019D8">
      <w:pPr>
        <w:jc w:val="both"/>
      </w:pPr>
      <w:r w:rsidRPr="00A17794">
        <w:t xml:space="preserve">Due to the fact that </w:t>
      </w:r>
      <w:r>
        <w:t>AGAMal did not have any IRS interventions in Q4/2017,</w:t>
      </w:r>
      <w:r w:rsidR="00790D37">
        <w:t xml:space="preserve"> their usual good grant performance, and the need to keep the meeting short, </w:t>
      </w:r>
      <w:proofErr w:type="spellStart"/>
      <w:r w:rsidR="00790D37">
        <w:t>AGAMal’s</w:t>
      </w:r>
      <w:proofErr w:type="spellEnd"/>
      <w:r w:rsidR="00790D37">
        <w:t xml:space="preserve"> dashboard was reviewed on an individual basis but they were not invited for the meeting </w:t>
      </w:r>
    </w:p>
    <w:p w:rsidR="004E7C96" w:rsidRDefault="004E7C96" w:rsidP="00172379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b/>
        </w:rPr>
      </w:pPr>
      <w:r>
        <w:rPr>
          <w:b/>
        </w:rPr>
        <w:lastRenderedPageBreak/>
        <w:t>Follow up:</w:t>
      </w:r>
    </w:p>
    <w:p w:rsidR="004E7C96" w:rsidRPr="000B0141" w:rsidRDefault="004E7C96" w:rsidP="004E7C96">
      <w:pPr>
        <w:pStyle w:val="ListParagraph"/>
        <w:numPr>
          <w:ilvl w:val="0"/>
          <w:numId w:val="23"/>
        </w:numPr>
        <w:spacing w:after="120"/>
        <w:jc w:val="both"/>
        <w:rPr>
          <w:b/>
        </w:rPr>
      </w:pPr>
      <w:r>
        <w:rPr>
          <w:b/>
        </w:rPr>
        <w:t xml:space="preserve">Dissemination of contamination report: </w:t>
      </w:r>
      <w:r w:rsidR="000B0141">
        <w:t>MAVCOC meeting: recommendation: dissemination of report on a regional basis</w:t>
      </w:r>
      <w:r w:rsidR="00C854F7">
        <w:t xml:space="preserve"> during the regional GHS review meeting</w:t>
      </w:r>
      <w:r w:rsidR="000B0141">
        <w:t>. UWR RHD in charge but the meeting has not been organized yet</w:t>
      </w:r>
    </w:p>
    <w:p w:rsidR="000B0141" w:rsidRDefault="000B0141" w:rsidP="004E7C96">
      <w:pPr>
        <w:pStyle w:val="ListParagraph"/>
        <w:numPr>
          <w:ilvl w:val="0"/>
          <w:numId w:val="23"/>
        </w:numPr>
        <w:spacing w:after="120"/>
        <w:jc w:val="both"/>
      </w:pPr>
      <w:r>
        <w:rPr>
          <w:b/>
        </w:rPr>
        <w:t>4</w:t>
      </w:r>
      <w:r w:rsidRPr="000B0141">
        <w:rPr>
          <w:b/>
          <w:vertAlign w:val="superscript"/>
        </w:rPr>
        <w:t>th</w:t>
      </w:r>
      <w:r>
        <w:rPr>
          <w:b/>
        </w:rPr>
        <w:t xml:space="preserve"> generation IRS / </w:t>
      </w:r>
      <w:proofErr w:type="spellStart"/>
      <w:r>
        <w:rPr>
          <w:b/>
        </w:rPr>
        <w:t>SumiShield</w:t>
      </w:r>
      <w:proofErr w:type="spellEnd"/>
      <w:r>
        <w:rPr>
          <w:b/>
        </w:rPr>
        <w:t xml:space="preserve">: </w:t>
      </w:r>
      <w:r w:rsidRPr="000B0141">
        <w:t xml:space="preserve">approved. </w:t>
      </w:r>
      <w:r w:rsidR="00C854F7">
        <w:t>Waiting for the certificate to come.</w:t>
      </w:r>
      <w:r w:rsidRPr="000B0141">
        <w:t xml:space="preserve"> </w:t>
      </w:r>
      <w:proofErr w:type="spellStart"/>
      <w:r w:rsidRPr="000B0141">
        <w:t>SumiShield</w:t>
      </w:r>
      <w:proofErr w:type="spellEnd"/>
      <w:r w:rsidRPr="000B0141">
        <w:t xml:space="preserve"> has been ordered</w:t>
      </w:r>
      <w:r>
        <w:t>, is expected to arrive via air (powder, no liquid) in the first half of March</w:t>
      </w:r>
      <w:r w:rsidR="00C854F7">
        <w:t xml:space="preserve">. Tests in Obuasi have shown that it is fully effective and a good replacement of </w:t>
      </w:r>
      <w:proofErr w:type="spellStart"/>
      <w:r w:rsidR="00C854F7">
        <w:t>Actellic</w:t>
      </w:r>
      <w:proofErr w:type="spellEnd"/>
      <w:r w:rsidR="00C854F7">
        <w:t xml:space="preserve">. </w:t>
      </w:r>
      <w:r w:rsidR="00D337E2">
        <w:t>Start of operations: 1</w:t>
      </w:r>
      <w:r w:rsidR="00D337E2" w:rsidRPr="00D337E2">
        <w:rPr>
          <w:vertAlign w:val="superscript"/>
        </w:rPr>
        <w:t>st</w:t>
      </w:r>
      <w:r w:rsidR="00D337E2">
        <w:t xml:space="preserve"> April</w:t>
      </w:r>
      <w:r w:rsidR="00C854F7">
        <w:t xml:space="preserve"> </w:t>
      </w:r>
    </w:p>
    <w:p w:rsidR="000B0141" w:rsidRPr="000B0141" w:rsidRDefault="000B0141" w:rsidP="000B0141">
      <w:pPr>
        <w:pStyle w:val="ListParagraph"/>
        <w:spacing w:after="120"/>
        <w:ind w:left="1077"/>
        <w:jc w:val="both"/>
      </w:pPr>
    </w:p>
    <w:p w:rsidR="00E360DF" w:rsidRDefault="00E360DF" w:rsidP="00172379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b/>
        </w:rPr>
      </w:pPr>
      <w:r w:rsidRPr="00962157">
        <w:rPr>
          <w:b/>
        </w:rPr>
        <w:t>Financial Indicators: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37"/>
        <w:gridCol w:w="2807"/>
        <w:gridCol w:w="4371"/>
      </w:tblGrid>
      <w:tr w:rsidR="00E360DF" w:rsidTr="00FF2552">
        <w:tc>
          <w:tcPr>
            <w:tcW w:w="1937" w:type="dxa"/>
          </w:tcPr>
          <w:p w:rsidR="00E360DF" w:rsidRDefault="00E360DF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807" w:type="dxa"/>
          </w:tcPr>
          <w:p w:rsidR="00E360DF" w:rsidRDefault="00E360DF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4371" w:type="dxa"/>
          </w:tcPr>
          <w:p w:rsidR="00E360DF" w:rsidRDefault="00E360DF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E360DF" w:rsidTr="00FF2552">
        <w:tc>
          <w:tcPr>
            <w:tcW w:w="1937" w:type="dxa"/>
          </w:tcPr>
          <w:p w:rsidR="00E360DF" w:rsidRDefault="0015382A" w:rsidP="00403A95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Absorption rate</w:t>
            </w:r>
          </w:p>
        </w:tc>
        <w:tc>
          <w:tcPr>
            <w:tcW w:w="2807" w:type="dxa"/>
          </w:tcPr>
          <w:p w:rsidR="002B40E0" w:rsidRDefault="002B40E0" w:rsidP="000D3635">
            <w:pPr>
              <w:spacing w:before="100" w:beforeAutospacing="1"/>
            </w:pPr>
            <w:r>
              <w:t>8</w:t>
            </w:r>
            <w:r w:rsidR="001B60B5">
              <w:t>9%</w:t>
            </w:r>
          </w:p>
          <w:p w:rsidR="001B60B5" w:rsidRPr="001571F6" w:rsidRDefault="001B60B5" w:rsidP="000D3635">
            <w:pPr>
              <w:spacing w:after="100" w:afterAutospacing="1"/>
            </w:pPr>
            <w:r>
              <w:t xml:space="preserve">2.5m USD unspent balances primarily from HR (1m) and health products non pharma (1.2m) </w:t>
            </w:r>
          </w:p>
        </w:tc>
        <w:tc>
          <w:tcPr>
            <w:tcW w:w="4371" w:type="dxa"/>
          </w:tcPr>
          <w:p w:rsidR="002A05E7" w:rsidRPr="001571F6" w:rsidRDefault="002A05E7" w:rsidP="002A05E7">
            <w:pPr>
              <w:spacing w:before="100" w:beforeAutospacing="1" w:after="100" w:afterAutospacing="1"/>
            </w:pPr>
            <w:r>
              <w:t xml:space="preserve"> </w:t>
            </w:r>
          </w:p>
        </w:tc>
      </w:tr>
    </w:tbl>
    <w:p w:rsidR="0015382A" w:rsidRDefault="0015382A" w:rsidP="00172379">
      <w:pPr>
        <w:pStyle w:val="ListParagraph"/>
        <w:numPr>
          <w:ilvl w:val="0"/>
          <w:numId w:val="2"/>
        </w:numPr>
        <w:spacing w:before="360" w:after="120"/>
        <w:ind w:left="357" w:hanging="357"/>
        <w:contextualSpacing w:val="0"/>
        <w:jc w:val="both"/>
        <w:rPr>
          <w:b/>
        </w:rPr>
      </w:pPr>
      <w:r w:rsidRPr="0015382A">
        <w:rPr>
          <w:b/>
        </w:rPr>
        <w:t xml:space="preserve">Management Indicators: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727"/>
        <w:gridCol w:w="2941"/>
        <w:gridCol w:w="4369"/>
      </w:tblGrid>
      <w:tr w:rsidR="00A712DB" w:rsidTr="000D69F9">
        <w:tc>
          <w:tcPr>
            <w:tcW w:w="1727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941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 </w:t>
            </w:r>
          </w:p>
        </w:tc>
        <w:tc>
          <w:tcPr>
            <w:tcW w:w="4369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A712DB" w:rsidTr="000D69F9">
        <w:trPr>
          <w:trHeight w:val="558"/>
        </w:trPr>
        <w:tc>
          <w:tcPr>
            <w:tcW w:w="1727" w:type="dxa"/>
          </w:tcPr>
          <w:p w:rsidR="00A712DB" w:rsidRDefault="00A712DB" w:rsidP="001659FE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Availability of commodities</w:t>
            </w:r>
          </w:p>
        </w:tc>
        <w:tc>
          <w:tcPr>
            <w:tcW w:w="2941" w:type="dxa"/>
          </w:tcPr>
          <w:p w:rsidR="00A712DB" w:rsidRPr="001571F6" w:rsidRDefault="001B60B5" w:rsidP="001659FE">
            <w:pPr>
              <w:spacing w:before="120"/>
            </w:pPr>
            <w:r>
              <w:t xml:space="preserve">0.8 </w:t>
            </w:r>
            <w:proofErr w:type="spellStart"/>
            <w:r>
              <w:t>MoS</w:t>
            </w:r>
            <w:proofErr w:type="spellEnd"/>
          </w:p>
        </w:tc>
        <w:tc>
          <w:tcPr>
            <w:tcW w:w="4369" w:type="dxa"/>
          </w:tcPr>
          <w:p w:rsidR="00A6029C" w:rsidRPr="001571F6" w:rsidRDefault="001B60B5" w:rsidP="00953FD7">
            <w:pPr>
              <w:pStyle w:val="ListParagraph"/>
              <w:spacing w:before="120"/>
              <w:ind w:left="0"/>
              <w:contextualSpacing w:val="0"/>
            </w:pPr>
            <w:proofErr w:type="spellStart"/>
            <w:r>
              <w:t>Actellic</w:t>
            </w:r>
            <w:proofErr w:type="spellEnd"/>
            <w:r>
              <w:t xml:space="preserve"> expected to arrive in March</w:t>
            </w:r>
            <w:r w:rsidR="00FD6552">
              <w:t xml:space="preserve">, </w:t>
            </w:r>
            <w:r w:rsidR="00FD6552">
              <w:br/>
              <w:t xml:space="preserve">same for </w:t>
            </w:r>
            <w:proofErr w:type="spellStart"/>
            <w:r w:rsidR="00FD6552">
              <w:t>SumiShield</w:t>
            </w:r>
            <w:proofErr w:type="spellEnd"/>
          </w:p>
        </w:tc>
      </w:tr>
    </w:tbl>
    <w:p w:rsidR="0015382A" w:rsidRPr="001B60B5" w:rsidRDefault="00E360DF" w:rsidP="00172379">
      <w:pPr>
        <w:pStyle w:val="ListParagraph"/>
        <w:numPr>
          <w:ilvl w:val="0"/>
          <w:numId w:val="2"/>
        </w:numPr>
        <w:spacing w:before="360" w:after="120"/>
        <w:ind w:left="357" w:hanging="357"/>
        <w:contextualSpacing w:val="0"/>
        <w:jc w:val="both"/>
      </w:pPr>
      <w:r w:rsidRPr="007D6E1C">
        <w:rPr>
          <w:b/>
        </w:rPr>
        <w:t>Programmatic Indicators:</w:t>
      </w:r>
      <w:r w:rsidR="001B60B5">
        <w:rPr>
          <w:b/>
        </w:rPr>
        <w:t xml:space="preserve"> </w:t>
      </w:r>
      <w:r w:rsidR="001B60B5" w:rsidRPr="001B60B5">
        <w:t>No IRS in Q4</w:t>
      </w:r>
      <w:r w:rsidR="000D3635">
        <w:t>, IRS season to be fully prepared by E/03 for spraying to start early April (earlier than previously to avoid challenges related to rainy season)</w:t>
      </w:r>
    </w:p>
    <w:p w:rsidR="003D62BE" w:rsidRDefault="00E360DF" w:rsidP="00172379">
      <w:pPr>
        <w:pStyle w:val="ListParagraph"/>
        <w:numPr>
          <w:ilvl w:val="0"/>
          <w:numId w:val="2"/>
        </w:numPr>
        <w:spacing w:before="360" w:after="120"/>
        <w:ind w:left="357" w:hanging="357"/>
        <w:contextualSpacing w:val="0"/>
        <w:jc w:val="both"/>
        <w:rPr>
          <w:b/>
        </w:rPr>
      </w:pPr>
      <w:r>
        <w:rPr>
          <w:b/>
        </w:rPr>
        <w:t>Recommendations:</w:t>
      </w:r>
    </w:p>
    <w:p w:rsidR="00AE75F2" w:rsidRDefault="001B60B5" w:rsidP="001B60B5">
      <w:pPr>
        <w:pStyle w:val="ListParagraph"/>
        <w:numPr>
          <w:ilvl w:val="0"/>
          <w:numId w:val="8"/>
        </w:numPr>
        <w:spacing w:before="360" w:after="120"/>
        <w:jc w:val="both"/>
      </w:pPr>
      <w:r>
        <w:t>AGAMAL to review target setting considering the withdrawal of 21 communities to avoid low performance rating</w:t>
      </w:r>
    </w:p>
    <w:p w:rsidR="001B60B5" w:rsidRDefault="001B60B5" w:rsidP="001B60B5">
      <w:pPr>
        <w:pStyle w:val="ListParagraph"/>
        <w:spacing w:before="360" w:after="120"/>
        <w:jc w:val="both"/>
      </w:pPr>
    </w:p>
    <w:p w:rsidR="00043AFF" w:rsidRPr="003A2966" w:rsidRDefault="00F627E7" w:rsidP="00172379">
      <w:pPr>
        <w:pStyle w:val="ListParagraph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sz w:val="24"/>
          <w:szCs w:val="24"/>
        </w:rPr>
      </w:pPr>
      <w:r w:rsidRPr="003A2966">
        <w:rPr>
          <w:b/>
          <w:sz w:val="24"/>
          <w:szCs w:val="24"/>
        </w:rPr>
        <w:t>NMCP</w:t>
      </w:r>
    </w:p>
    <w:p w:rsidR="00C139AD" w:rsidRDefault="0004237F" w:rsidP="008D5692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b/>
        </w:rPr>
      </w:pPr>
      <w:r>
        <w:rPr>
          <w:b/>
        </w:rPr>
        <w:t>Follow up:</w:t>
      </w:r>
    </w:p>
    <w:p w:rsidR="000910BB" w:rsidRDefault="000910BB" w:rsidP="003A36AB">
      <w:pPr>
        <w:pStyle w:val="ListParagraph"/>
        <w:numPr>
          <w:ilvl w:val="0"/>
          <w:numId w:val="22"/>
        </w:numPr>
        <w:spacing w:after="0"/>
        <w:contextualSpacing w:val="0"/>
        <w:jc w:val="both"/>
        <w:rPr>
          <w:b/>
        </w:rPr>
      </w:pPr>
      <w:r>
        <w:rPr>
          <w:b/>
        </w:rPr>
        <w:t xml:space="preserve">Status quo of RTSS vaccine field trial: </w:t>
      </w:r>
      <w:r w:rsidR="00EE0485" w:rsidRPr="00EE0485">
        <w:t>EPI in charge</w:t>
      </w:r>
      <w:r w:rsidR="00D337E2">
        <w:t>, NMCP is not directly involved</w:t>
      </w:r>
    </w:p>
    <w:p w:rsidR="000910BB" w:rsidRPr="00611632" w:rsidRDefault="000910BB" w:rsidP="003A36AB">
      <w:pPr>
        <w:pStyle w:val="ListParagraph"/>
        <w:numPr>
          <w:ilvl w:val="0"/>
          <w:numId w:val="22"/>
        </w:numPr>
        <w:spacing w:after="0"/>
        <w:contextualSpacing w:val="0"/>
        <w:jc w:val="both"/>
      </w:pPr>
      <w:proofErr w:type="spellStart"/>
      <w:r>
        <w:rPr>
          <w:b/>
        </w:rPr>
        <w:t>Chemonics</w:t>
      </w:r>
      <w:proofErr w:type="spellEnd"/>
      <w:r>
        <w:rPr>
          <w:b/>
        </w:rPr>
        <w:t xml:space="preserve"> survey of ACTs procured from open market: </w:t>
      </w:r>
      <w:r w:rsidR="00611632" w:rsidRPr="00611632">
        <w:t>Scope of work finalized, ready to take of</w:t>
      </w:r>
    </w:p>
    <w:p w:rsidR="003A36AB" w:rsidRDefault="006F6BB0" w:rsidP="000910BB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b/>
        </w:rPr>
      </w:pPr>
      <w:r>
        <w:rPr>
          <w:b/>
        </w:rPr>
        <w:t>Availability</w:t>
      </w:r>
      <w:r w:rsidR="003A36AB">
        <w:rPr>
          <w:b/>
        </w:rPr>
        <w:t xml:space="preserve"> of SPs:</w:t>
      </w:r>
      <w:r w:rsidR="00EE0485">
        <w:rPr>
          <w:b/>
        </w:rPr>
        <w:t xml:space="preserve"> </w:t>
      </w:r>
      <w:r w:rsidR="00EE0485" w:rsidRPr="00EE0485">
        <w:t xml:space="preserve">PMI is procuring to close the gap. Arrives soon. </w:t>
      </w:r>
      <w:r w:rsidR="00EE0485">
        <w:t xml:space="preserve">PMI </w:t>
      </w:r>
      <w:r w:rsidR="00EE0485" w:rsidRPr="00EE0485">
        <w:t>Quality assurance</w:t>
      </w:r>
      <w:r w:rsidR="00EE0485">
        <w:rPr>
          <w:b/>
        </w:rPr>
        <w:t xml:space="preserve"> </w:t>
      </w:r>
      <w:r w:rsidR="00EE0485" w:rsidRPr="00EE0485">
        <w:t xml:space="preserve">needs to </w:t>
      </w:r>
      <w:r w:rsidR="00EE0485">
        <w:t xml:space="preserve">be </w:t>
      </w:r>
      <w:r w:rsidR="00EE0485" w:rsidRPr="00EE0485">
        <w:t>undertaken</w:t>
      </w:r>
      <w:r w:rsidR="00EE0485">
        <w:t xml:space="preserve">, usually takes a month. </w:t>
      </w:r>
      <w:r w:rsidR="005044FF">
        <w:t>Local SPs: contract has been awarded</w:t>
      </w:r>
    </w:p>
    <w:p w:rsidR="00E201FC" w:rsidRDefault="00E201FC" w:rsidP="00E201FC">
      <w:pPr>
        <w:spacing w:after="120"/>
        <w:ind w:left="360"/>
        <w:jc w:val="both"/>
        <w:rPr>
          <w:b/>
        </w:rPr>
      </w:pPr>
    </w:p>
    <w:p w:rsidR="0018751E" w:rsidRPr="00E201FC" w:rsidRDefault="0018751E" w:rsidP="00E201FC">
      <w:pPr>
        <w:spacing w:after="120"/>
        <w:ind w:left="360"/>
        <w:jc w:val="both"/>
        <w:rPr>
          <w:b/>
        </w:rPr>
      </w:pPr>
    </w:p>
    <w:p w:rsidR="000910BB" w:rsidRPr="000910BB" w:rsidRDefault="000910BB" w:rsidP="000910BB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 w:rsidRPr="000910BB">
        <w:rPr>
          <w:b/>
        </w:rPr>
        <w:lastRenderedPageBreak/>
        <w:t xml:space="preserve">Site visit to Brong Ahafo Region   </w:t>
      </w:r>
    </w:p>
    <w:p w:rsidR="004D3F7B" w:rsidRPr="004D3F7B" w:rsidRDefault="004D3F7B" w:rsidP="008D1C2D">
      <w:pPr>
        <w:pStyle w:val="ListParagraph"/>
        <w:numPr>
          <w:ilvl w:val="0"/>
          <w:numId w:val="21"/>
        </w:numPr>
        <w:spacing w:after="0"/>
      </w:pPr>
      <w:r w:rsidRPr="004D3F7B">
        <w:rPr>
          <w:b/>
        </w:rPr>
        <w:t xml:space="preserve">Epidemiology in </w:t>
      </w:r>
      <w:proofErr w:type="spellStart"/>
      <w:r w:rsidRPr="004D3F7B">
        <w:rPr>
          <w:b/>
        </w:rPr>
        <w:t>Kintampo</w:t>
      </w:r>
      <w:proofErr w:type="spellEnd"/>
      <w:r w:rsidRPr="004D3F7B">
        <w:rPr>
          <w:b/>
        </w:rPr>
        <w:t xml:space="preserve"> district:</w:t>
      </w:r>
      <w:r w:rsidRPr="004D3F7B">
        <w:t xml:space="preserve"> Malaria is still the </w:t>
      </w:r>
      <w:r>
        <w:t>no1</w:t>
      </w:r>
      <w:r w:rsidRPr="004D3F7B">
        <w:t xml:space="preserve"> of OPD attendance (37% in 2016) and admission (39%) and the second cause of mortality (11%). The </w:t>
      </w:r>
      <w:r>
        <w:t>DHD</w:t>
      </w:r>
      <w:r w:rsidRPr="004D3F7B">
        <w:t xml:space="preserve"> data indicate a reducing trend for malaria cases (OPD, 2013: 71,105, 2016: 48717 = 31% reduction) while malaria related admissions increased during the same time from 3,065 to 3,731. </w:t>
      </w:r>
    </w:p>
    <w:p w:rsidR="001469C3" w:rsidRPr="001469C3" w:rsidRDefault="001469C3" w:rsidP="001469C3">
      <w:pPr>
        <w:pStyle w:val="ListParagraph"/>
        <w:numPr>
          <w:ilvl w:val="0"/>
          <w:numId w:val="21"/>
        </w:numPr>
        <w:spacing w:after="0"/>
      </w:pPr>
      <w:r w:rsidRPr="004D3F7B">
        <w:rPr>
          <w:b/>
        </w:rPr>
        <w:t>IPT</w:t>
      </w:r>
      <w:r w:rsidRPr="001469C3">
        <w:t xml:space="preserve">3 coverage improved to 59% (national average 46% in 2017 but regional ANC coverage but </w:t>
      </w:r>
      <w:r>
        <w:t xml:space="preserve">regional ANC coverage = 74%. </w:t>
      </w:r>
      <w:r w:rsidRPr="001469C3">
        <w:t xml:space="preserve">2017 BA half year report, two third of the districts had ANC coverage rates of less than 80%. </w:t>
      </w:r>
      <w:r>
        <w:t>Some</w:t>
      </w:r>
      <w:r w:rsidRPr="001469C3">
        <w:t xml:space="preserve"> facilities have not yet been registered with DHIMS, </w:t>
      </w:r>
      <w:r>
        <w:t xml:space="preserve">so that </w:t>
      </w:r>
      <w:r w:rsidRPr="001469C3">
        <w:t xml:space="preserve">the actual ANC </w:t>
      </w:r>
      <w:r>
        <w:t xml:space="preserve">and possibly IPT3 </w:t>
      </w:r>
      <w:r w:rsidRPr="001469C3">
        <w:t>coverage should be higher.</w:t>
      </w:r>
      <w:r w:rsidR="00480C4D">
        <w:t xml:space="preserve"> No uniform approach to start of IPT3, mostly with quickening, partly only when quickening is felt, independently of the week of pregnancy. </w:t>
      </w:r>
      <w:r w:rsidR="004D3F7B">
        <w:t xml:space="preserve">G6PD test done as a standard and result determines IPT or not. </w:t>
      </w:r>
      <w:r w:rsidR="00480C4D">
        <w:t>Strong intraregional variation of ANC start: Sunyani Municipal: most come between the 20</w:t>
      </w:r>
      <w:r w:rsidR="00480C4D" w:rsidRPr="00480C4D">
        <w:rPr>
          <w:vertAlign w:val="superscript"/>
        </w:rPr>
        <w:t>th</w:t>
      </w:r>
      <w:r w:rsidR="00480C4D">
        <w:t xml:space="preserve"> and 30</w:t>
      </w:r>
      <w:r w:rsidR="00480C4D" w:rsidRPr="00480C4D">
        <w:rPr>
          <w:vertAlign w:val="superscript"/>
        </w:rPr>
        <w:t>th</w:t>
      </w:r>
      <w:r w:rsidR="00480C4D">
        <w:t xml:space="preserve"> week, </w:t>
      </w:r>
      <w:proofErr w:type="spellStart"/>
      <w:r w:rsidR="00480C4D">
        <w:t>Kintampo</w:t>
      </w:r>
      <w:proofErr w:type="spellEnd"/>
      <w:r w:rsidR="00480C4D">
        <w:t xml:space="preserve"> Municipal much earlier. Recommendation to link up with FHD to encourage women to start ANC in the first trimester</w:t>
      </w:r>
      <w:r w:rsidR="001B0F2B">
        <w:t xml:space="preserve">. NGO allegations that some nurses sell the SPs to their clients. </w:t>
      </w:r>
    </w:p>
    <w:p w:rsidR="001469C3" w:rsidRDefault="00872BBA" w:rsidP="00860A95">
      <w:pPr>
        <w:pStyle w:val="ListParagraph"/>
        <w:numPr>
          <w:ilvl w:val="0"/>
          <w:numId w:val="8"/>
        </w:numPr>
        <w:spacing w:after="0"/>
        <w:contextualSpacing w:val="0"/>
      </w:pPr>
      <w:r w:rsidRPr="00872BBA">
        <w:rPr>
          <w:b/>
        </w:rPr>
        <w:t>Malaria testing:</w:t>
      </w:r>
      <w:r>
        <w:t xml:space="preserve"> </w:t>
      </w:r>
      <w:r w:rsidR="00480C4D" w:rsidRPr="00480C4D">
        <w:t>93% testing rate in 2017 among all malaria suspects (national average 89%)</w:t>
      </w:r>
      <w:r w:rsidR="004D3F7B">
        <w:t>. Gap was explained by inadequate reporting in K Municipal hospital as all suspected cases are tested. K Municipal: still malaria test at first ANC. 36 weeks: test for all women</w:t>
      </w:r>
    </w:p>
    <w:p w:rsidR="00872BBA" w:rsidRDefault="00872BBA" w:rsidP="00872BBA">
      <w:pPr>
        <w:pStyle w:val="ListParagraph"/>
        <w:numPr>
          <w:ilvl w:val="0"/>
          <w:numId w:val="8"/>
        </w:numPr>
        <w:spacing w:after="0"/>
        <w:contextualSpacing w:val="0"/>
      </w:pPr>
      <w:r w:rsidRPr="00872BBA">
        <w:rPr>
          <w:b/>
        </w:rPr>
        <w:t>LLIN use</w:t>
      </w:r>
      <w:r w:rsidR="00397639">
        <w:rPr>
          <w:b/>
        </w:rPr>
        <w:t xml:space="preserve">: </w:t>
      </w:r>
      <w:r w:rsidRPr="00872BBA">
        <w:rPr>
          <w:b/>
        </w:rPr>
        <w:t>pregnant women:</w:t>
      </w:r>
      <w:r w:rsidR="004A5080">
        <w:t xml:space="preserve"> available </w:t>
      </w:r>
      <w:r>
        <w:t>adequate quantities, ANC staff follows up on their use and provides general counselling and individual counselling if women do not sleep under LLIN</w:t>
      </w:r>
      <w:r w:rsidR="00397639">
        <w:t xml:space="preserve">. </w:t>
      </w:r>
      <w:r w:rsidR="00397639" w:rsidRPr="00397639">
        <w:rPr>
          <w:b/>
        </w:rPr>
        <w:t>Hospitals:</w:t>
      </w:r>
      <w:r w:rsidR="00397639">
        <w:t xml:space="preserve"> allegations by NGOs that admitted clients are at risk of malaria because of the lack of </w:t>
      </w:r>
      <w:proofErr w:type="spellStart"/>
      <w:r w:rsidR="00397639">
        <w:t>bednets</w:t>
      </w:r>
      <w:proofErr w:type="spellEnd"/>
      <w:r w:rsidR="00397639">
        <w:t xml:space="preserve">. Regional Hospital: </w:t>
      </w:r>
      <w:proofErr w:type="spellStart"/>
      <w:r w:rsidR="00397639">
        <w:t>bednets</w:t>
      </w:r>
      <w:proofErr w:type="spellEnd"/>
      <w:r w:rsidR="00397639">
        <w:t xml:space="preserve"> only provided at the children’s ward. In other wards some clients bring their own </w:t>
      </w:r>
      <w:proofErr w:type="spellStart"/>
      <w:r w:rsidR="00397639">
        <w:t>bednet</w:t>
      </w:r>
      <w:proofErr w:type="spellEnd"/>
      <w:r w:rsidR="00397639">
        <w:t xml:space="preserve">. </w:t>
      </w:r>
    </w:p>
    <w:p w:rsidR="00480C4D" w:rsidRDefault="00480C4D" w:rsidP="00860A95">
      <w:pPr>
        <w:pStyle w:val="ListParagraph"/>
        <w:numPr>
          <w:ilvl w:val="0"/>
          <w:numId w:val="8"/>
        </w:numPr>
        <w:spacing w:after="0"/>
        <w:contextualSpacing w:val="0"/>
      </w:pPr>
      <w:r w:rsidRPr="00872BBA">
        <w:rPr>
          <w:b/>
        </w:rPr>
        <w:t xml:space="preserve">Commodities </w:t>
      </w:r>
      <w:r>
        <w:t>have been consistently available, also due to comprehensive LMD covering almost 500 facilities on a monthly basis, but NGOs report stock out of SP in some facilities</w:t>
      </w:r>
      <w:r w:rsidR="000910BB">
        <w:t xml:space="preserve">. </w:t>
      </w:r>
      <w:proofErr w:type="spellStart"/>
      <w:r w:rsidR="000910BB">
        <w:t>Kintampo</w:t>
      </w:r>
      <w:proofErr w:type="spellEnd"/>
      <w:r w:rsidR="000910BB">
        <w:t xml:space="preserve"> Municipal: ACTs procured from open market in pharmacy.</w:t>
      </w:r>
    </w:p>
    <w:p w:rsidR="00480C4D" w:rsidRDefault="00480C4D" w:rsidP="00860A95">
      <w:pPr>
        <w:pStyle w:val="ListParagraph"/>
        <w:numPr>
          <w:ilvl w:val="0"/>
          <w:numId w:val="8"/>
        </w:numPr>
        <w:spacing w:after="0"/>
        <w:contextualSpacing w:val="0"/>
      </w:pPr>
      <w:r w:rsidRPr="00872BBA">
        <w:rPr>
          <w:b/>
        </w:rPr>
        <w:t>NMCP recruited NGOs</w:t>
      </w:r>
      <w:r>
        <w:t xml:space="preserve"> are registered with the RHD and can count on RHD support if necessary</w:t>
      </w:r>
      <w:r w:rsidR="00B90F52">
        <w:t>. Volunteers receive 40 GHC monthly.</w:t>
      </w:r>
      <w:r w:rsidR="004301BC">
        <w:t xml:space="preserve"> </w:t>
      </w:r>
      <w:r w:rsidR="00942BD1">
        <w:t xml:space="preserve">NGOs experience a several month delay between the submission of report and next disbursement. </w:t>
      </w:r>
      <w:r w:rsidR="001B0F2B">
        <w:t xml:space="preserve">Last disbursement came two months late considering the project phase. </w:t>
      </w:r>
      <w:r w:rsidR="004301BC">
        <w:t>Consider as one of the NGO responsibilities promotion of early ANC attendance. NGOs report inadequate conduct of health staff towards particularly towards young/teenage pregnant women</w:t>
      </w:r>
      <w:r w:rsidR="001B0F2B">
        <w:t>. NGOs recommend to involve men to ensure that women attend ANC early and regularly</w:t>
      </w:r>
      <w:r w:rsidR="004301BC">
        <w:t xml:space="preserve"> </w:t>
      </w:r>
    </w:p>
    <w:p w:rsidR="001469C3" w:rsidRDefault="004A5080" w:rsidP="001469C3">
      <w:pPr>
        <w:pStyle w:val="ListParagraph"/>
        <w:numPr>
          <w:ilvl w:val="0"/>
          <w:numId w:val="8"/>
        </w:numPr>
        <w:spacing w:after="0"/>
        <w:contextualSpacing w:val="0"/>
      </w:pPr>
      <w:r>
        <w:rPr>
          <w:b/>
        </w:rPr>
        <w:t xml:space="preserve">Microscopes / Reagents: </w:t>
      </w:r>
      <w:r w:rsidR="00263968" w:rsidRPr="00263968">
        <w:t>Statement from Head of Lab at the regional hospital</w:t>
      </w:r>
      <w:r w:rsidR="00263968">
        <w:t xml:space="preserve"> that many microscopes in the region are in a really bad shape. He also stated that there a big quality differences of reagents for malaria diagnosis on the market. Desired to get a list from NMCP with recommended reagents to avoid unnecessary expenditures for low quality reagents and to ensure quality malaria diagnosis</w:t>
      </w:r>
    </w:p>
    <w:p w:rsidR="0018751E" w:rsidRDefault="0018751E" w:rsidP="0018751E">
      <w:pPr>
        <w:spacing w:after="0"/>
      </w:pPr>
    </w:p>
    <w:p w:rsidR="0018751E" w:rsidRDefault="0018751E" w:rsidP="0018751E">
      <w:pPr>
        <w:spacing w:after="0"/>
      </w:pPr>
    </w:p>
    <w:p w:rsidR="0018751E" w:rsidRDefault="0018751E" w:rsidP="0018751E">
      <w:pPr>
        <w:spacing w:after="0"/>
      </w:pPr>
    </w:p>
    <w:p w:rsidR="0018751E" w:rsidRPr="00263968" w:rsidRDefault="0018751E" w:rsidP="0018751E">
      <w:pPr>
        <w:spacing w:after="0"/>
      </w:pPr>
    </w:p>
    <w:p w:rsidR="00C1378D" w:rsidRDefault="00C1378D" w:rsidP="00C82298">
      <w:pPr>
        <w:pStyle w:val="ListParagraph"/>
        <w:spacing w:after="0" w:line="240" w:lineRule="auto"/>
        <w:ind w:left="717"/>
        <w:contextualSpacing w:val="0"/>
        <w:rPr>
          <w:color w:val="000000" w:themeColor="text1"/>
        </w:rPr>
      </w:pPr>
    </w:p>
    <w:p w:rsidR="0051550D" w:rsidRPr="0011345E" w:rsidRDefault="00E360DF" w:rsidP="00172379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b/>
        </w:rPr>
      </w:pPr>
      <w:r w:rsidRPr="00962157">
        <w:rPr>
          <w:b/>
        </w:rPr>
        <w:t>Financial Indicators: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864"/>
        <w:gridCol w:w="3197"/>
        <w:gridCol w:w="3976"/>
      </w:tblGrid>
      <w:tr w:rsidR="00392163" w:rsidTr="00566B2D">
        <w:tc>
          <w:tcPr>
            <w:tcW w:w="1864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3197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</w:t>
            </w:r>
          </w:p>
        </w:tc>
        <w:tc>
          <w:tcPr>
            <w:tcW w:w="3976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392163" w:rsidTr="00566B2D">
        <w:tc>
          <w:tcPr>
            <w:tcW w:w="1864" w:type="dxa"/>
          </w:tcPr>
          <w:p w:rsidR="00F1000E" w:rsidRDefault="00F1000E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Absorption rate</w:t>
            </w:r>
          </w:p>
        </w:tc>
        <w:tc>
          <w:tcPr>
            <w:tcW w:w="3197" w:type="dxa"/>
          </w:tcPr>
          <w:p w:rsidR="008F7E5C" w:rsidRDefault="00A506DC" w:rsidP="00E1727E">
            <w:pPr>
              <w:pStyle w:val="ListParagraph"/>
              <w:spacing w:before="120"/>
              <w:ind w:left="0"/>
              <w:contextualSpacing w:val="0"/>
            </w:pPr>
            <w:r>
              <w:t xml:space="preserve">Absorption rate: </w:t>
            </w:r>
            <w:r w:rsidR="000D69F9">
              <w:t>8</w:t>
            </w:r>
            <w:r w:rsidR="00E1727E">
              <w:t>5</w:t>
            </w:r>
            <w:r w:rsidR="00C1378D">
              <w:t>%</w:t>
            </w:r>
            <w:r w:rsidR="00A41004">
              <w:t xml:space="preserve"> DB vs 93% in financial overview: which one is correct? </w:t>
            </w:r>
          </w:p>
          <w:p w:rsidR="00A41004" w:rsidRDefault="00A41004" w:rsidP="00E1727E">
            <w:pPr>
              <w:pStyle w:val="ListParagraph"/>
              <w:spacing w:before="120"/>
              <w:ind w:left="0"/>
              <w:contextualSpacing w:val="0"/>
            </w:pPr>
            <w:r>
              <w:t>Since April significant overachievement on vector control (3700% to 7800%)</w:t>
            </w:r>
          </w:p>
          <w:p w:rsidR="00A41004" w:rsidRPr="001571F6" w:rsidRDefault="00A41004" w:rsidP="00E1727E">
            <w:pPr>
              <w:pStyle w:val="ListParagraph"/>
              <w:spacing w:before="120"/>
              <w:ind w:left="0"/>
              <w:contextualSpacing w:val="0"/>
            </w:pPr>
            <w:r>
              <w:t>74% cum for health info systems and M&amp;E</w:t>
            </w:r>
          </w:p>
        </w:tc>
        <w:tc>
          <w:tcPr>
            <w:tcW w:w="3976" w:type="dxa"/>
          </w:tcPr>
          <w:p w:rsidR="000D69F9" w:rsidRDefault="00D337E2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93% correct</w:t>
            </w:r>
            <w:r w:rsidR="000B66E4">
              <w:rPr>
                <w:rFonts w:ascii="Calibri" w:hAnsi="Calibri" w:cs="Calibri"/>
                <w:color w:val="000000" w:themeColor="text1"/>
              </w:rPr>
              <w:t>, DB will be corrected</w:t>
            </w:r>
          </w:p>
          <w:p w:rsidR="009326CA" w:rsidRDefault="009326CA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  <w:p w:rsidR="009326CA" w:rsidRDefault="009326CA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  <w:p w:rsidR="009326CA" w:rsidRPr="003D582F" w:rsidRDefault="009326CA" w:rsidP="008908DD">
            <w:pPr>
              <w:pStyle w:val="ListParagraph"/>
              <w:spacing w:before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LLIN</w:t>
            </w:r>
            <w:r w:rsidR="001C7019">
              <w:rPr>
                <w:rFonts w:ascii="Calibri" w:hAnsi="Calibri" w:cs="Calibri"/>
                <w:color w:val="000000" w:themeColor="text1"/>
              </w:rPr>
              <w:t>s procured</w:t>
            </w:r>
          </w:p>
        </w:tc>
      </w:tr>
      <w:tr w:rsidR="00392163" w:rsidTr="00566B2D">
        <w:tc>
          <w:tcPr>
            <w:tcW w:w="1864" w:type="dxa"/>
            <w:tcBorders>
              <w:bottom w:val="single" w:sz="4" w:space="0" w:color="auto"/>
            </w:tcBorders>
          </w:tcPr>
          <w:p w:rsidR="0051550D" w:rsidRDefault="0051550D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PSM data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:rsidR="00404DB3" w:rsidRDefault="00404DB3" w:rsidP="006A4BC6">
            <w:pPr>
              <w:pStyle w:val="ListParagraph"/>
              <w:spacing w:before="120"/>
              <w:ind w:left="0"/>
              <w:contextualSpacing w:val="0"/>
            </w:pPr>
            <w:r>
              <w:t>Commitments in the last quarter of the grant???</w:t>
            </w:r>
          </w:p>
          <w:p w:rsidR="0051550D" w:rsidRPr="001571F6" w:rsidRDefault="00404DB3" w:rsidP="006A4BC6">
            <w:pPr>
              <w:pStyle w:val="ListParagraph"/>
              <w:spacing w:before="120"/>
              <w:ind w:left="0"/>
              <w:contextualSpacing w:val="0"/>
            </w:pPr>
            <w:r>
              <w:t>Expenditures on pharma budget = 155%?</w:t>
            </w:r>
            <w:r w:rsidR="00BB662F">
              <w:t xml:space="preserve"> 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51550D" w:rsidRPr="004B6F55" w:rsidRDefault="0051550D" w:rsidP="000D69F9">
            <w:pPr>
              <w:pStyle w:val="ListParagraph"/>
              <w:spacing w:before="120"/>
              <w:ind w:left="0"/>
              <w:contextualSpacing w:val="0"/>
            </w:pPr>
          </w:p>
        </w:tc>
      </w:tr>
    </w:tbl>
    <w:p w:rsidR="005D21A8" w:rsidRDefault="005D21A8">
      <w:pPr>
        <w:rPr>
          <w:b/>
        </w:rPr>
      </w:pPr>
    </w:p>
    <w:p w:rsidR="0004237F" w:rsidRPr="0015382A" w:rsidRDefault="0004237F" w:rsidP="00172379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b/>
        </w:rPr>
      </w:pPr>
      <w:r w:rsidRPr="0015382A">
        <w:rPr>
          <w:b/>
        </w:rPr>
        <w:t xml:space="preserve">Management Indicators: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731"/>
        <w:gridCol w:w="2949"/>
        <w:gridCol w:w="4357"/>
      </w:tblGrid>
      <w:tr w:rsidR="0004237F" w:rsidTr="00392163">
        <w:tc>
          <w:tcPr>
            <w:tcW w:w="1731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949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 </w:t>
            </w:r>
          </w:p>
        </w:tc>
        <w:tc>
          <w:tcPr>
            <w:tcW w:w="4357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04237F" w:rsidTr="00392163">
        <w:trPr>
          <w:trHeight w:val="558"/>
        </w:trPr>
        <w:tc>
          <w:tcPr>
            <w:tcW w:w="1731" w:type="dxa"/>
          </w:tcPr>
          <w:p w:rsidR="0004237F" w:rsidRDefault="0004237F" w:rsidP="007461FA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Availability of commodities</w:t>
            </w:r>
          </w:p>
          <w:p w:rsidR="00591C16" w:rsidRDefault="00591C16" w:rsidP="00D93A63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As stock E/</w:t>
            </w:r>
            <w:r w:rsidR="00D93A63">
              <w:rPr>
                <w:b/>
              </w:rPr>
              <w:t>1</w:t>
            </w:r>
            <w:r>
              <w:rPr>
                <w:b/>
              </w:rPr>
              <w:t xml:space="preserve"> stock report</w:t>
            </w:r>
            <w:r w:rsidR="00A90B3E">
              <w:rPr>
                <w:b/>
              </w:rPr>
              <w:t xml:space="preserve"> </w:t>
            </w:r>
          </w:p>
        </w:tc>
        <w:tc>
          <w:tcPr>
            <w:tcW w:w="2949" w:type="dxa"/>
          </w:tcPr>
          <w:p w:rsidR="00D93A63" w:rsidRDefault="00D93A63" w:rsidP="002D327F">
            <w:pPr>
              <w:pStyle w:val="ListParagraph"/>
              <w:spacing w:before="120"/>
              <w:ind w:left="0"/>
              <w:contextualSpacing w:val="0"/>
            </w:pPr>
            <w:r>
              <w:t xml:space="preserve">If only one age band available, will this distort </w:t>
            </w:r>
            <w:proofErr w:type="spellStart"/>
            <w:r>
              <w:t>MoS</w:t>
            </w:r>
            <w:proofErr w:type="spellEnd"/>
            <w:r>
              <w:t>? (particularly AL in AR)</w:t>
            </w:r>
          </w:p>
          <w:p w:rsidR="00611632" w:rsidRDefault="00611632" w:rsidP="002D327F">
            <w:pPr>
              <w:pStyle w:val="ListParagraph"/>
              <w:spacing w:before="120"/>
              <w:ind w:left="0"/>
              <w:contextualSpacing w:val="0"/>
            </w:pPr>
            <w:r>
              <w:t xml:space="preserve">ACTs about to expire at IHS </w:t>
            </w:r>
          </w:p>
          <w:p w:rsidR="00096710" w:rsidRDefault="00D93A63" w:rsidP="002D327F">
            <w:pPr>
              <w:pStyle w:val="ListParagraph"/>
              <w:spacing w:before="120"/>
              <w:ind w:left="0"/>
              <w:contextualSpacing w:val="0"/>
            </w:pPr>
            <w:r>
              <w:t>ER entirely stocked out</w:t>
            </w:r>
          </w:p>
          <w:p w:rsidR="00D93A63" w:rsidRDefault="00D93A63" w:rsidP="002D327F">
            <w:pPr>
              <w:pStyle w:val="ListParagraph"/>
              <w:spacing w:before="120"/>
              <w:ind w:left="0"/>
              <w:contextualSpacing w:val="0"/>
            </w:pPr>
            <w:r>
              <w:t>UWR overstocked</w:t>
            </w:r>
          </w:p>
          <w:p w:rsidR="00D93A63" w:rsidRDefault="00D93A63" w:rsidP="002D327F">
            <w:pPr>
              <w:pStyle w:val="ListParagraph"/>
              <w:spacing w:before="120"/>
              <w:ind w:left="0"/>
              <w:contextualSpacing w:val="0"/>
            </w:pPr>
            <w:r>
              <w:t>SP: stocked out in E/R, probably by now also in A/R and possibly BAR</w:t>
            </w:r>
          </w:p>
          <w:p w:rsidR="00D93A63" w:rsidRDefault="00D93A63" w:rsidP="002D327F">
            <w:pPr>
              <w:pStyle w:val="ListParagraph"/>
              <w:spacing w:before="120"/>
              <w:ind w:left="0"/>
              <w:contextualSpacing w:val="0"/>
            </w:pPr>
            <w:r>
              <w:t>RDTs stocked out in UWR, by now also in E/R and GAR</w:t>
            </w:r>
          </w:p>
          <w:p w:rsidR="0070124C" w:rsidRDefault="0070124C" w:rsidP="002D327F">
            <w:pPr>
              <w:pStyle w:val="ListParagraph"/>
              <w:spacing w:before="120"/>
              <w:ind w:left="0"/>
              <w:contextualSpacing w:val="0"/>
            </w:pPr>
            <w:r>
              <w:t>Injection: CR and UWR stocked out, soon also NR</w:t>
            </w:r>
          </w:p>
          <w:p w:rsidR="00D93A63" w:rsidRPr="001571F6" w:rsidRDefault="00D93A63" w:rsidP="00D93A63">
            <w:pPr>
              <w:pStyle w:val="ListParagraph"/>
              <w:spacing w:before="120"/>
              <w:ind w:left="0"/>
              <w:contextualSpacing w:val="0"/>
            </w:pPr>
            <w:r>
              <w:t xml:space="preserve">Redistribute overstock in </w:t>
            </w:r>
            <w:r w:rsidR="0070124C">
              <w:t xml:space="preserve">UER, </w:t>
            </w:r>
            <w:r>
              <w:t>UWR, VR, WR</w:t>
            </w:r>
            <w:r w:rsidR="0070124C">
              <w:t xml:space="preserve"> to avoid expiries</w:t>
            </w:r>
          </w:p>
        </w:tc>
        <w:tc>
          <w:tcPr>
            <w:tcW w:w="4357" w:type="dxa"/>
          </w:tcPr>
          <w:p w:rsidR="00E71853" w:rsidRDefault="00D337E2" w:rsidP="007461FA">
            <w:pPr>
              <w:pStyle w:val="ListParagraph"/>
              <w:spacing w:before="120"/>
              <w:ind w:left="0"/>
              <w:contextualSpacing w:val="0"/>
            </w:pPr>
            <w:r>
              <w:t>Yes, needs to be carefully reviewed to ensure that total stock is sufficient for the period</w:t>
            </w:r>
          </w:p>
          <w:p w:rsidR="000B66E4" w:rsidRDefault="000B66E4" w:rsidP="007461FA">
            <w:pPr>
              <w:pStyle w:val="ListParagraph"/>
              <w:spacing w:before="120"/>
              <w:ind w:left="0"/>
              <w:contextualSpacing w:val="0"/>
            </w:pPr>
            <w:r>
              <w:t>Scheduled delivery has recently taken place, shortages should be resolved</w:t>
            </w:r>
          </w:p>
          <w:p w:rsidR="00096710" w:rsidRDefault="00096710" w:rsidP="007461FA">
            <w:pPr>
              <w:pStyle w:val="ListParagraph"/>
              <w:spacing w:before="120"/>
              <w:ind w:left="0"/>
              <w:contextualSpacing w:val="0"/>
            </w:pPr>
          </w:p>
          <w:p w:rsidR="004E4991" w:rsidRDefault="004E4991" w:rsidP="00D93A63">
            <w:pPr>
              <w:pStyle w:val="ListParagraph"/>
              <w:spacing w:before="120"/>
              <w:ind w:left="0"/>
              <w:contextualSpacing w:val="0"/>
            </w:pPr>
          </w:p>
          <w:p w:rsidR="00E87B8D" w:rsidRPr="00D93A63" w:rsidRDefault="00047B37" w:rsidP="00A03EA3">
            <w:pPr>
              <w:pStyle w:val="ListParagraph"/>
              <w:spacing w:before="120"/>
              <w:ind w:left="0"/>
              <w:contextualSpacing w:val="0"/>
              <w:rPr>
                <w:i/>
              </w:rPr>
            </w:pPr>
            <w:r w:rsidRPr="00D93A63">
              <w:rPr>
                <w:i/>
              </w:rPr>
              <w:t xml:space="preserve"> </w:t>
            </w:r>
          </w:p>
        </w:tc>
      </w:tr>
    </w:tbl>
    <w:p w:rsidR="0018751E" w:rsidRPr="0018751E" w:rsidRDefault="0018751E" w:rsidP="0018751E">
      <w:pPr>
        <w:pStyle w:val="ListParagraph"/>
        <w:spacing w:before="360" w:after="120"/>
        <w:ind w:left="360"/>
        <w:contextualSpacing w:val="0"/>
        <w:jc w:val="both"/>
      </w:pPr>
      <w:bookmarkStart w:id="0" w:name="_GoBack"/>
      <w:bookmarkEnd w:id="0"/>
    </w:p>
    <w:p w:rsidR="0018751E" w:rsidRPr="0018751E" w:rsidRDefault="0018751E" w:rsidP="0018751E">
      <w:pPr>
        <w:pStyle w:val="ListParagraph"/>
        <w:spacing w:before="360" w:after="120"/>
        <w:ind w:left="360"/>
        <w:contextualSpacing w:val="0"/>
        <w:jc w:val="both"/>
      </w:pPr>
    </w:p>
    <w:p w:rsidR="00E360DF" w:rsidRPr="00463ABD" w:rsidRDefault="00E360DF" w:rsidP="00172379">
      <w:pPr>
        <w:pStyle w:val="ListParagraph"/>
        <w:numPr>
          <w:ilvl w:val="0"/>
          <w:numId w:val="4"/>
        </w:numPr>
        <w:spacing w:before="360" w:after="120"/>
        <w:contextualSpacing w:val="0"/>
        <w:jc w:val="both"/>
      </w:pPr>
      <w:r w:rsidRPr="007D6E1C">
        <w:rPr>
          <w:b/>
        </w:rPr>
        <w:lastRenderedPageBreak/>
        <w:t>Programmatic Indicators:</w:t>
      </w:r>
      <w:r w:rsidR="0079161E">
        <w:rPr>
          <w:b/>
        </w:rPr>
        <w:t xml:space="preserve">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700"/>
        <w:gridCol w:w="2959"/>
        <w:gridCol w:w="4378"/>
      </w:tblGrid>
      <w:tr w:rsidR="00641878" w:rsidTr="005D21A8">
        <w:tc>
          <w:tcPr>
            <w:tcW w:w="1700" w:type="dxa"/>
          </w:tcPr>
          <w:p w:rsidR="00641878" w:rsidRDefault="00641878" w:rsidP="006F645C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959" w:type="dxa"/>
          </w:tcPr>
          <w:p w:rsidR="00641878" w:rsidRDefault="00641878" w:rsidP="006F645C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Observation  </w:t>
            </w:r>
          </w:p>
        </w:tc>
        <w:tc>
          <w:tcPr>
            <w:tcW w:w="4378" w:type="dxa"/>
          </w:tcPr>
          <w:p w:rsidR="00641878" w:rsidRDefault="00641878" w:rsidP="006F645C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Answer / Decision </w:t>
            </w: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t>% parasitological test</w:t>
            </w:r>
          </w:p>
        </w:tc>
        <w:tc>
          <w:tcPr>
            <w:tcW w:w="2959" w:type="dxa"/>
          </w:tcPr>
          <w:p w:rsidR="00BC4450" w:rsidRDefault="006E2BD1" w:rsidP="000417E6">
            <w:pPr>
              <w:pStyle w:val="ListParagraph"/>
              <w:spacing w:before="120"/>
              <w:ind w:left="0"/>
              <w:contextualSpacing w:val="0"/>
            </w:pPr>
            <w:r>
              <w:t>109% = 87% of suspected cases tested</w:t>
            </w:r>
          </w:p>
        </w:tc>
        <w:tc>
          <w:tcPr>
            <w:tcW w:w="4378" w:type="dxa"/>
          </w:tcPr>
          <w:p w:rsidR="0001752B" w:rsidRPr="001571F6" w:rsidRDefault="0001752B" w:rsidP="000417E6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t>Coverage LLIN</w:t>
            </w:r>
          </w:p>
        </w:tc>
        <w:tc>
          <w:tcPr>
            <w:tcW w:w="2959" w:type="dxa"/>
          </w:tcPr>
          <w:p w:rsidR="001405F5" w:rsidRDefault="00727D94" w:rsidP="006E2BD1">
            <w:pPr>
              <w:pStyle w:val="ListParagraph"/>
              <w:spacing w:before="120"/>
              <w:ind w:left="0"/>
              <w:contextualSpacing w:val="0"/>
            </w:pPr>
            <w:r>
              <w:t xml:space="preserve">74% of pop at risk covered = 100%. </w:t>
            </w:r>
            <w:r w:rsidR="002B362A">
              <w:t>= mass distribution</w:t>
            </w:r>
            <w:r w:rsidR="006E2BD1">
              <w:t xml:space="preserve">. </w:t>
            </w:r>
          </w:p>
        </w:tc>
        <w:tc>
          <w:tcPr>
            <w:tcW w:w="4378" w:type="dxa"/>
          </w:tcPr>
          <w:p w:rsidR="00BC4450" w:rsidRPr="001571F6" w:rsidRDefault="00BC4450" w:rsidP="00A03EA3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t># LLIN mass + continuous</w:t>
            </w:r>
          </w:p>
        </w:tc>
        <w:tc>
          <w:tcPr>
            <w:tcW w:w="2959" w:type="dxa"/>
          </w:tcPr>
          <w:p w:rsidR="00BC4450" w:rsidRDefault="006E2BD1" w:rsidP="002B362A">
            <w:pPr>
              <w:pStyle w:val="ListParagraph"/>
              <w:spacing w:before="120"/>
              <w:ind w:left="0"/>
              <w:contextualSpacing w:val="0"/>
            </w:pPr>
            <w:r>
              <w:t>159% (target 1.8m, 2.9m achieved)</w:t>
            </w:r>
          </w:p>
        </w:tc>
        <w:tc>
          <w:tcPr>
            <w:tcW w:w="4378" w:type="dxa"/>
          </w:tcPr>
          <w:p w:rsidR="00BC4450" w:rsidRPr="001571F6" w:rsidRDefault="00BC4450" w:rsidP="00BC4450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 w:rsidRPr="003C0FB3">
              <w:rPr>
                <w:b/>
              </w:rPr>
              <w:t xml:space="preserve">% 3+ doses of </w:t>
            </w:r>
            <w:proofErr w:type="spellStart"/>
            <w:r w:rsidRPr="003C0FB3">
              <w:rPr>
                <w:b/>
              </w:rPr>
              <w:t>IPTp</w:t>
            </w:r>
            <w:proofErr w:type="spellEnd"/>
          </w:p>
        </w:tc>
        <w:tc>
          <w:tcPr>
            <w:tcW w:w="2959" w:type="dxa"/>
          </w:tcPr>
          <w:p w:rsidR="00BC4450" w:rsidRPr="00D337E2" w:rsidRDefault="00727D94" w:rsidP="00D337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6E2BD1">
              <w:rPr>
                <w:color w:val="000000" w:themeColor="text1"/>
              </w:rPr>
              <w:t>3</w:t>
            </w:r>
            <w:r w:rsidR="00F1037C" w:rsidRPr="00F1037C">
              <w:rPr>
                <w:color w:val="000000" w:themeColor="text1"/>
              </w:rPr>
              <w:t xml:space="preserve">% </w:t>
            </w:r>
            <w:r>
              <w:rPr>
                <w:color w:val="000000" w:themeColor="text1"/>
              </w:rPr>
              <w:t xml:space="preserve">coverage </w:t>
            </w:r>
            <w:r w:rsidR="009113D6">
              <w:rPr>
                <w:color w:val="000000" w:themeColor="text1"/>
              </w:rPr>
              <w:t>(= 69% achievement rate)</w:t>
            </w:r>
            <w:r w:rsidR="006E2BD1">
              <w:rPr>
                <w:color w:val="000000" w:themeColor="text1"/>
              </w:rPr>
              <w:t>, drop from Q3 (46%)</w:t>
            </w:r>
            <w:r>
              <w:rPr>
                <w:color w:val="000000" w:themeColor="text1"/>
              </w:rPr>
              <w:t xml:space="preserve">. </w:t>
            </w:r>
            <w:r w:rsidR="006E2BD1">
              <w:t>Tally book introduced in Q3 to facilitate counting.</w:t>
            </w:r>
          </w:p>
        </w:tc>
        <w:tc>
          <w:tcPr>
            <w:tcW w:w="4378" w:type="dxa"/>
          </w:tcPr>
          <w:p w:rsidR="00DF1853" w:rsidRDefault="00DF1853" w:rsidP="008F7E5C">
            <w:pPr>
              <w:pStyle w:val="ListParagraph"/>
              <w:spacing w:before="120"/>
              <w:ind w:left="0"/>
              <w:contextualSpacing w:val="0"/>
            </w:pPr>
          </w:p>
          <w:p w:rsidR="006E2BD1" w:rsidRDefault="006E2BD1" w:rsidP="008F7E5C">
            <w:pPr>
              <w:pStyle w:val="ListParagraph"/>
              <w:spacing w:before="120"/>
              <w:ind w:left="0"/>
              <w:contextualSpacing w:val="0"/>
            </w:pPr>
          </w:p>
          <w:p w:rsidR="00DF1853" w:rsidRPr="001571F6" w:rsidRDefault="00DF1853" w:rsidP="008F7E5C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% targeted risk group with ITN</w:t>
            </w:r>
          </w:p>
        </w:tc>
        <w:tc>
          <w:tcPr>
            <w:tcW w:w="2959" w:type="dxa"/>
          </w:tcPr>
          <w:p w:rsidR="00BC4450" w:rsidRDefault="000D69F9" w:rsidP="0079161E">
            <w:pPr>
              <w:pStyle w:val="ListParagraph"/>
              <w:spacing w:before="120"/>
              <w:ind w:left="0"/>
              <w:contextualSpacing w:val="0"/>
            </w:pPr>
            <w:r>
              <w:t>11</w:t>
            </w:r>
            <w:r w:rsidR="0079161E">
              <w:t>3</w:t>
            </w:r>
            <w:r>
              <w:t>%</w:t>
            </w:r>
            <w:r w:rsidR="0079161E">
              <w:t xml:space="preserve"> (77% target, 87% achieved)</w:t>
            </w:r>
          </w:p>
        </w:tc>
        <w:tc>
          <w:tcPr>
            <w:tcW w:w="4378" w:type="dxa"/>
          </w:tcPr>
          <w:p w:rsidR="00BC4450" w:rsidRPr="001571F6" w:rsidRDefault="00BC4450" w:rsidP="00BC4450">
            <w:pPr>
              <w:pStyle w:val="ListParagraph"/>
              <w:spacing w:before="120"/>
              <w:ind w:left="0"/>
              <w:contextualSpacing w:val="0"/>
            </w:pPr>
          </w:p>
        </w:tc>
      </w:tr>
      <w:tr w:rsidR="00BC4450" w:rsidTr="005D21A8">
        <w:tc>
          <w:tcPr>
            <w:tcW w:w="1700" w:type="dxa"/>
          </w:tcPr>
          <w:p w:rsidR="00BC4450" w:rsidRPr="003C0FB3" w:rsidRDefault="00BC4450" w:rsidP="00BC4450">
            <w:pPr>
              <w:pStyle w:val="ListParagraph"/>
              <w:spacing w:before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% ACTs among confirmed cases</w:t>
            </w:r>
          </w:p>
        </w:tc>
        <w:tc>
          <w:tcPr>
            <w:tcW w:w="2959" w:type="dxa"/>
          </w:tcPr>
          <w:p w:rsidR="00BC4450" w:rsidRDefault="000D69F9" w:rsidP="00BC4450">
            <w:pPr>
              <w:pStyle w:val="ListParagraph"/>
              <w:spacing w:before="120"/>
              <w:ind w:left="0"/>
              <w:contextualSpacing w:val="0"/>
            </w:pPr>
            <w:r>
              <w:t>100% coverage, 100% achievement</w:t>
            </w:r>
            <w:r w:rsidR="0079161E">
              <w:t>. But report on treatment using SPs and monotherapies???</w:t>
            </w:r>
          </w:p>
        </w:tc>
        <w:tc>
          <w:tcPr>
            <w:tcW w:w="4378" w:type="dxa"/>
          </w:tcPr>
          <w:p w:rsidR="0001752B" w:rsidRPr="001571F6" w:rsidRDefault="0001752B" w:rsidP="00BC4450">
            <w:pPr>
              <w:pStyle w:val="ListParagraph"/>
              <w:spacing w:before="120"/>
              <w:ind w:left="0"/>
              <w:contextualSpacing w:val="0"/>
            </w:pPr>
          </w:p>
        </w:tc>
      </w:tr>
    </w:tbl>
    <w:p w:rsidR="00D337E2" w:rsidRPr="00F1037C" w:rsidRDefault="00D337E2" w:rsidP="00140498">
      <w:pPr>
        <w:spacing w:before="120" w:after="120"/>
        <w:jc w:val="both"/>
      </w:pPr>
    </w:p>
    <w:p w:rsidR="00E955A7" w:rsidRDefault="00E360DF" w:rsidP="00172379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</w:pPr>
      <w:r>
        <w:rPr>
          <w:b/>
        </w:rPr>
        <w:t>Recommendations:</w:t>
      </w:r>
    </w:p>
    <w:p w:rsidR="00D337E2" w:rsidRPr="00D337E2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Liaise with FHD to discuss possibilities of a mass campaign or other intervention to better promote early start of ANC</w:t>
      </w:r>
    </w:p>
    <w:p w:rsidR="00D337E2" w:rsidRPr="00D337E2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t>Liaise with FHD or GHS to address allegations of disrespectful treatment of pregnant teenage / young women at SDP</w:t>
      </w:r>
    </w:p>
    <w:p w:rsidR="00D337E2" w:rsidRPr="00D337E2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Review WHO recommendation for start of IPT “as early as possible in the second trimester” = 14</w:t>
      </w:r>
      <w:r w:rsidRPr="00D337E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week</w:t>
      </w:r>
    </w:p>
    <w:p w:rsidR="00D337E2" w:rsidRPr="00D337E2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Review possibilities to provide hospitals with LLINs for admitted clients</w:t>
      </w:r>
    </w:p>
    <w:p w:rsidR="00D337E2" w:rsidRPr="00D337E2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Provide list of recommended reagents to labs</w:t>
      </w:r>
    </w:p>
    <w:p w:rsidR="00D337E2" w:rsidRPr="00D337E2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Address situation of malfunctioning microscopes</w:t>
      </w:r>
    </w:p>
    <w:p w:rsidR="006A5CB6" w:rsidRPr="00D337E2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>Revise disbursement practices to ensure consistent NGO services</w:t>
      </w:r>
      <w:r w:rsidR="00B05672">
        <w:rPr>
          <w:color w:val="000000" w:themeColor="text1"/>
        </w:rPr>
        <w:t xml:space="preserve"> </w:t>
      </w:r>
    </w:p>
    <w:p w:rsidR="00D337E2" w:rsidRPr="005A2A86" w:rsidRDefault="00D337E2" w:rsidP="00E201FC">
      <w:pPr>
        <w:pStyle w:val="ListParagraph"/>
        <w:numPr>
          <w:ilvl w:val="0"/>
          <w:numId w:val="17"/>
        </w:numPr>
        <w:spacing w:before="120" w:after="120"/>
        <w:jc w:val="both"/>
      </w:pPr>
      <w:r>
        <w:rPr>
          <w:color w:val="000000" w:themeColor="text1"/>
        </w:rPr>
        <w:t xml:space="preserve">Address stock related recommendations </w:t>
      </w:r>
    </w:p>
    <w:p w:rsidR="009F1194" w:rsidRPr="009F1194" w:rsidRDefault="009F1194" w:rsidP="009F1194">
      <w:pPr>
        <w:pStyle w:val="ListParagraph"/>
        <w:spacing w:before="120" w:after="120"/>
        <w:ind w:left="810"/>
        <w:jc w:val="both"/>
      </w:pPr>
    </w:p>
    <w:p w:rsidR="00F957F5" w:rsidRPr="00980F6F" w:rsidRDefault="00F957F5" w:rsidP="00172379">
      <w:pPr>
        <w:pStyle w:val="ListParagraph"/>
        <w:numPr>
          <w:ilvl w:val="0"/>
          <w:numId w:val="1"/>
        </w:numPr>
        <w:spacing w:before="240"/>
        <w:ind w:left="357" w:hanging="357"/>
        <w:contextualSpacing w:val="0"/>
        <w:jc w:val="both"/>
        <w:rPr>
          <w:b/>
          <w:sz w:val="24"/>
          <w:szCs w:val="24"/>
        </w:rPr>
      </w:pPr>
      <w:r w:rsidRPr="00980F6F">
        <w:rPr>
          <w:b/>
          <w:sz w:val="24"/>
          <w:szCs w:val="24"/>
        </w:rPr>
        <w:t>Closing</w:t>
      </w:r>
    </w:p>
    <w:p w:rsidR="00D96870" w:rsidRDefault="00F957F5" w:rsidP="00F957F5">
      <w:pPr>
        <w:jc w:val="both"/>
      </w:pPr>
      <w:r>
        <w:t>The meeting came to a close at about</w:t>
      </w:r>
      <w:r w:rsidR="00C52295">
        <w:t xml:space="preserve"> </w:t>
      </w:r>
      <w:r w:rsidR="005B7D8C">
        <w:t>1</w:t>
      </w:r>
      <w:r w:rsidR="00FE5D5D">
        <w:t>0</w:t>
      </w:r>
      <w:r w:rsidR="005B7D8C">
        <w:t>:</w:t>
      </w:r>
      <w:r w:rsidR="00611632">
        <w:t>10</w:t>
      </w:r>
      <w:r w:rsidR="004C515E">
        <w:t xml:space="preserve"> </w:t>
      </w:r>
      <w:r w:rsidR="00FE5D5D">
        <w:t>a</w:t>
      </w:r>
      <w:r w:rsidR="00C52295">
        <w:t>m.</w:t>
      </w:r>
    </w:p>
    <w:p w:rsidR="00BF19E7" w:rsidRDefault="00BF19E7" w:rsidP="00F957F5">
      <w:pPr>
        <w:jc w:val="both"/>
      </w:pPr>
    </w:p>
    <w:sectPr w:rsidR="00BF19E7" w:rsidSect="00EA4117">
      <w:footerReference w:type="default" r:id="rId8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263" w:rsidRDefault="00257263" w:rsidP="007D2F92">
      <w:pPr>
        <w:spacing w:after="0" w:line="240" w:lineRule="auto"/>
      </w:pPr>
      <w:r>
        <w:separator/>
      </w:r>
    </w:p>
  </w:endnote>
  <w:endnote w:type="continuationSeparator" w:id="0">
    <w:p w:rsidR="00257263" w:rsidRDefault="00257263" w:rsidP="007D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6701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729A1" w:rsidRDefault="000847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51E">
          <w:rPr>
            <w:noProof/>
          </w:rPr>
          <w:t>4</w:t>
        </w:r>
        <w:r>
          <w:rPr>
            <w:noProof/>
          </w:rPr>
          <w:fldChar w:fldCharType="end"/>
        </w:r>
        <w:r w:rsidR="008729A1">
          <w:t xml:space="preserve"> | </w:t>
        </w:r>
        <w:r w:rsidR="008729A1">
          <w:rPr>
            <w:color w:val="808080" w:themeColor="background1" w:themeShade="80"/>
            <w:spacing w:val="60"/>
          </w:rPr>
          <w:t>Page</w:t>
        </w:r>
      </w:p>
    </w:sdtContent>
  </w:sdt>
  <w:p w:rsidR="008729A1" w:rsidRDefault="00872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263" w:rsidRDefault="00257263" w:rsidP="007D2F92">
      <w:pPr>
        <w:spacing w:after="0" w:line="240" w:lineRule="auto"/>
      </w:pPr>
      <w:r>
        <w:separator/>
      </w:r>
    </w:p>
  </w:footnote>
  <w:footnote w:type="continuationSeparator" w:id="0">
    <w:p w:rsidR="00257263" w:rsidRDefault="00257263" w:rsidP="007D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1806"/>
    <w:multiLevelType w:val="hybridMultilevel"/>
    <w:tmpl w:val="E052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3535"/>
    <w:multiLevelType w:val="hybridMultilevel"/>
    <w:tmpl w:val="CD52618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F4284F"/>
    <w:multiLevelType w:val="hybridMultilevel"/>
    <w:tmpl w:val="523E8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573A"/>
    <w:multiLevelType w:val="hybridMultilevel"/>
    <w:tmpl w:val="376A4BE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D817739"/>
    <w:multiLevelType w:val="hybridMultilevel"/>
    <w:tmpl w:val="3BD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0445"/>
    <w:multiLevelType w:val="hybridMultilevel"/>
    <w:tmpl w:val="F76E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7240"/>
    <w:multiLevelType w:val="hybridMultilevel"/>
    <w:tmpl w:val="D91209DC"/>
    <w:lvl w:ilvl="0" w:tplc="BACEE5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808D3"/>
    <w:multiLevelType w:val="hybridMultilevel"/>
    <w:tmpl w:val="7B3C29FE"/>
    <w:lvl w:ilvl="0" w:tplc="FD286B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AA1BC4"/>
    <w:multiLevelType w:val="hybridMultilevel"/>
    <w:tmpl w:val="47167428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52821BF9"/>
    <w:multiLevelType w:val="hybridMultilevel"/>
    <w:tmpl w:val="D14873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D607BB0"/>
    <w:multiLevelType w:val="hybridMultilevel"/>
    <w:tmpl w:val="AFAE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127D3"/>
    <w:multiLevelType w:val="hybridMultilevel"/>
    <w:tmpl w:val="E76E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272F0"/>
    <w:multiLevelType w:val="hybridMultilevel"/>
    <w:tmpl w:val="5DF881A2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17107B2"/>
    <w:multiLevelType w:val="hybridMultilevel"/>
    <w:tmpl w:val="D44031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90936"/>
    <w:multiLevelType w:val="hybridMultilevel"/>
    <w:tmpl w:val="0ED2CF0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0F10B3B"/>
    <w:multiLevelType w:val="hybridMultilevel"/>
    <w:tmpl w:val="D2F459B8"/>
    <w:lvl w:ilvl="0" w:tplc="E22099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9D3587"/>
    <w:multiLevelType w:val="hybridMultilevel"/>
    <w:tmpl w:val="8F06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C0CE1"/>
    <w:multiLevelType w:val="hybridMultilevel"/>
    <w:tmpl w:val="9926D8D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6B83BD2"/>
    <w:multiLevelType w:val="hybridMultilevel"/>
    <w:tmpl w:val="71E831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80B1B2E"/>
    <w:multiLevelType w:val="hybridMultilevel"/>
    <w:tmpl w:val="F7C85C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78E54B8B"/>
    <w:multiLevelType w:val="hybridMultilevel"/>
    <w:tmpl w:val="CFEA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428D6"/>
    <w:multiLevelType w:val="hybridMultilevel"/>
    <w:tmpl w:val="BA20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C0BD4"/>
    <w:multiLevelType w:val="hybridMultilevel"/>
    <w:tmpl w:val="E25C89B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7"/>
  </w:num>
  <w:num w:numId="5">
    <w:abstractNumId w:val="1"/>
  </w:num>
  <w:num w:numId="6">
    <w:abstractNumId w:val="22"/>
  </w:num>
  <w:num w:numId="7">
    <w:abstractNumId w:val="17"/>
  </w:num>
  <w:num w:numId="8">
    <w:abstractNumId w:val="0"/>
  </w:num>
  <w:num w:numId="9">
    <w:abstractNumId w:val="8"/>
  </w:num>
  <w:num w:numId="10">
    <w:abstractNumId w:val="2"/>
  </w:num>
  <w:num w:numId="11">
    <w:abstractNumId w:val="19"/>
  </w:num>
  <w:num w:numId="12">
    <w:abstractNumId w:val="4"/>
  </w:num>
  <w:num w:numId="13">
    <w:abstractNumId w:val="5"/>
  </w:num>
  <w:num w:numId="14">
    <w:abstractNumId w:val="20"/>
  </w:num>
  <w:num w:numId="15">
    <w:abstractNumId w:val="12"/>
  </w:num>
  <w:num w:numId="16">
    <w:abstractNumId w:val="11"/>
  </w:num>
  <w:num w:numId="17">
    <w:abstractNumId w:val="18"/>
  </w:num>
  <w:num w:numId="18">
    <w:abstractNumId w:val="9"/>
  </w:num>
  <w:num w:numId="19">
    <w:abstractNumId w:val="10"/>
  </w:num>
  <w:num w:numId="20">
    <w:abstractNumId w:val="14"/>
  </w:num>
  <w:num w:numId="21">
    <w:abstractNumId w:val="21"/>
  </w:num>
  <w:num w:numId="22">
    <w:abstractNumId w:val="16"/>
  </w:num>
  <w:num w:numId="2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3"/>
    <w:rsid w:val="0000238B"/>
    <w:rsid w:val="00007B74"/>
    <w:rsid w:val="0001151B"/>
    <w:rsid w:val="00015E00"/>
    <w:rsid w:val="00016119"/>
    <w:rsid w:val="0001752B"/>
    <w:rsid w:val="00022A9E"/>
    <w:rsid w:val="00022E0F"/>
    <w:rsid w:val="00027F91"/>
    <w:rsid w:val="00030B1C"/>
    <w:rsid w:val="00030F66"/>
    <w:rsid w:val="000328A6"/>
    <w:rsid w:val="000334EA"/>
    <w:rsid w:val="000335D7"/>
    <w:rsid w:val="00033D3D"/>
    <w:rsid w:val="0003748B"/>
    <w:rsid w:val="000417E6"/>
    <w:rsid w:val="0004237F"/>
    <w:rsid w:val="00043AFF"/>
    <w:rsid w:val="00046F56"/>
    <w:rsid w:val="00047B37"/>
    <w:rsid w:val="00051A5D"/>
    <w:rsid w:val="00052103"/>
    <w:rsid w:val="00052CD1"/>
    <w:rsid w:val="000567E9"/>
    <w:rsid w:val="000619B3"/>
    <w:rsid w:val="000624D6"/>
    <w:rsid w:val="00064741"/>
    <w:rsid w:val="00066C73"/>
    <w:rsid w:val="00071A00"/>
    <w:rsid w:val="00072DEC"/>
    <w:rsid w:val="00072FF8"/>
    <w:rsid w:val="00073890"/>
    <w:rsid w:val="00084793"/>
    <w:rsid w:val="00090AA0"/>
    <w:rsid w:val="000910BB"/>
    <w:rsid w:val="00092FCF"/>
    <w:rsid w:val="00096710"/>
    <w:rsid w:val="000969DD"/>
    <w:rsid w:val="000A45D3"/>
    <w:rsid w:val="000B0141"/>
    <w:rsid w:val="000B18DD"/>
    <w:rsid w:val="000B4EF8"/>
    <w:rsid w:val="000B66E4"/>
    <w:rsid w:val="000C5AB2"/>
    <w:rsid w:val="000D0072"/>
    <w:rsid w:val="000D212F"/>
    <w:rsid w:val="000D3635"/>
    <w:rsid w:val="000D36CD"/>
    <w:rsid w:val="000D69F9"/>
    <w:rsid w:val="000D6A4C"/>
    <w:rsid w:val="000D7177"/>
    <w:rsid w:val="000E1410"/>
    <w:rsid w:val="000E205E"/>
    <w:rsid w:val="000E3E05"/>
    <w:rsid w:val="000F084A"/>
    <w:rsid w:val="000F2954"/>
    <w:rsid w:val="000F3954"/>
    <w:rsid w:val="00100ABC"/>
    <w:rsid w:val="00103A15"/>
    <w:rsid w:val="00104381"/>
    <w:rsid w:val="0010581D"/>
    <w:rsid w:val="001119CE"/>
    <w:rsid w:val="0011295E"/>
    <w:rsid w:val="0011345E"/>
    <w:rsid w:val="001137E2"/>
    <w:rsid w:val="00113872"/>
    <w:rsid w:val="0011782F"/>
    <w:rsid w:val="00120B73"/>
    <w:rsid w:val="00120E93"/>
    <w:rsid w:val="00121BA0"/>
    <w:rsid w:val="001235BF"/>
    <w:rsid w:val="00125657"/>
    <w:rsid w:val="001257C1"/>
    <w:rsid w:val="001308D1"/>
    <w:rsid w:val="00131B07"/>
    <w:rsid w:val="001354E2"/>
    <w:rsid w:val="00136320"/>
    <w:rsid w:val="00140498"/>
    <w:rsid w:val="001405EA"/>
    <w:rsid w:val="001405F5"/>
    <w:rsid w:val="00140C51"/>
    <w:rsid w:val="001410F1"/>
    <w:rsid w:val="00143759"/>
    <w:rsid w:val="0014456C"/>
    <w:rsid w:val="00144B79"/>
    <w:rsid w:val="001469C3"/>
    <w:rsid w:val="00150307"/>
    <w:rsid w:val="0015382A"/>
    <w:rsid w:val="00155032"/>
    <w:rsid w:val="00155051"/>
    <w:rsid w:val="001571F6"/>
    <w:rsid w:val="0016085F"/>
    <w:rsid w:val="001616CE"/>
    <w:rsid w:val="0016384D"/>
    <w:rsid w:val="0016493C"/>
    <w:rsid w:val="001659FE"/>
    <w:rsid w:val="00167B82"/>
    <w:rsid w:val="001707AA"/>
    <w:rsid w:val="00172379"/>
    <w:rsid w:val="00172385"/>
    <w:rsid w:val="0017266D"/>
    <w:rsid w:val="00172978"/>
    <w:rsid w:val="0017300B"/>
    <w:rsid w:val="00173106"/>
    <w:rsid w:val="0017591D"/>
    <w:rsid w:val="0017760A"/>
    <w:rsid w:val="00181487"/>
    <w:rsid w:val="00183683"/>
    <w:rsid w:val="0018603A"/>
    <w:rsid w:val="0018751E"/>
    <w:rsid w:val="00191AB1"/>
    <w:rsid w:val="00191AD2"/>
    <w:rsid w:val="001948CE"/>
    <w:rsid w:val="001A1484"/>
    <w:rsid w:val="001A1590"/>
    <w:rsid w:val="001A2F3A"/>
    <w:rsid w:val="001A5C62"/>
    <w:rsid w:val="001B0F2B"/>
    <w:rsid w:val="001B16C1"/>
    <w:rsid w:val="001B26C1"/>
    <w:rsid w:val="001B2AA8"/>
    <w:rsid w:val="001B3329"/>
    <w:rsid w:val="001B60B5"/>
    <w:rsid w:val="001B6619"/>
    <w:rsid w:val="001C4513"/>
    <w:rsid w:val="001C6EBF"/>
    <w:rsid w:val="001C7019"/>
    <w:rsid w:val="001C70F8"/>
    <w:rsid w:val="001C7F03"/>
    <w:rsid w:val="001D386C"/>
    <w:rsid w:val="001D54F9"/>
    <w:rsid w:val="001D66FA"/>
    <w:rsid w:val="001D7D11"/>
    <w:rsid w:val="001E3AEC"/>
    <w:rsid w:val="001E4CEE"/>
    <w:rsid w:val="001E6AC9"/>
    <w:rsid w:val="001E79D4"/>
    <w:rsid w:val="001F226D"/>
    <w:rsid w:val="001F64C6"/>
    <w:rsid w:val="001F7E5F"/>
    <w:rsid w:val="00202824"/>
    <w:rsid w:val="00204810"/>
    <w:rsid w:val="00207B72"/>
    <w:rsid w:val="00210FC5"/>
    <w:rsid w:val="00217A9B"/>
    <w:rsid w:val="00220737"/>
    <w:rsid w:val="00221D1E"/>
    <w:rsid w:val="0022536D"/>
    <w:rsid w:val="00226C88"/>
    <w:rsid w:val="00230DBB"/>
    <w:rsid w:val="002349B9"/>
    <w:rsid w:val="0023515C"/>
    <w:rsid w:val="00235D4A"/>
    <w:rsid w:val="002425B3"/>
    <w:rsid w:val="00243403"/>
    <w:rsid w:val="00243C0F"/>
    <w:rsid w:val="00246328"/>
    <w:rsid w:val="00254E5A"/>
    <w:rsid w:val="00257263"/>
    <w:rsid w:val="0026074D"/>
    <w:rsid w:val="00260B12"/>
    <w:rsid w:val="00260D71"/>
    <w:rsid w:val="00261389"/>
    <w:rsid w:val="0026143C"/>
    <w:rsid w:val="002614DE"/>
    <w:rsid w:val="00263968"/>
    <w:rsid w:val="0026398B"/>
    <w:rsid w:val="00263992"/>
    <w:rsid w:val="00265594"/>
    <w:rsid w:val="002663FA"/>
    <w:rsid w:val="002742A0"/>
    <w:rsid w:val="0028266C"/>
    <w:rsid w:val="00283736"/>
    <w:rsid w:val="00296CDA"/>
    <w:rsid w:val="002A05E7"/>
    <w:rsid w:val="002A1E67"/>
    <w:rsid w:val="002A4A25"/>
    <w:rsid w:val="002A5DD9"/>
    <w:rsid w:val="002A6CB3"/>
    <w:rsid w:val="002B0AD1"/>
    <w:rsid w:val="002B362A"/>
    <w:rsid w:val="002B40E0"/>
    <w:rsid w:val="002B58B7"/>
    <w:rsid w:val="002B600D"/>
    <w:rsid w:val="002C1F2A"/>
    <w:rsid w:val="002C3657"/>
    <w:rsid w:val="002C4B55"/>
    <w:rsid w:val="002D2521"/>
    <w:rsid w:val="002D327F"/>
    <w:rsid w:val="002D462E"/>
    <w:rsid w:val="002D79D8"/>
    <w:rsid w:val="002E1F44"/>
    <w:rsid w:val="002E53D4"/>
    <w:rsid w:val="002F127A"/>
    <w:rsid w:val="002F4244"/>
    <w:rsid w:val="002F43A1"/>
    <w:rsid w:val="002F46E9"/>
    <w:rsid w:val="002F666E"/>
    <w:rsid w:val="003048A5"/>
    <w:rsid w:val="003169FD"/>
    <w:rsid w:val="00323767"/>
    <w:rsid w:val="003238A0"/>
    <w:rsid w:val="00330AF3"/>
    <w:rsid w:val="00336704"/>
    <w:rsid w:val="00341992"/>
    <w:rsid w:val="0034613B"/>
    <w:rsid w:val="00347A98"/>
    <w:rsid w:val="003515CA"/>
    <w:rsid w:val="003522E6"/>
    <w:rsid w:val="0035486F"/>
    <w:rsid w:val="00365626"/>
    <w:rsid w:val="00366F1B"/>
    <w:rsid w:val="003756BB"/>
    <w:rsid w:val="003757B6"/>
    <w:rsid w:val="00376B3A"/>
    <w:rsid w:val="00383205"/>
    <w:rsid w:val="003833DF"/>
    <w:rsid w:val="0038473F"/>
    <w:rsid w:val="003855BA"/>
    <w:rsid w:val="0038630F"/>
    <w:rsid w:val="00390660"/>
    <w:rsid w:val="00390D44"/>
    <w:rsid w:val="00392163"/>
    <w:rsid w:val="003932E0"/>
    <w:rsid w:val="0039646F"/>
    <w:rsid w:val="00397639"/>
    <w:rsid w:val="003A0B6C"/>
    <w:rsid w:val="003A2966"/>
    <w:rsid w:val="003A36AB"/>
    <w:rsid w:val="003A5350"/>
    <w:rsid w:val="003A5E41"/>
    <w:rsid w:val="003B2030"/>
    <w:rsid w:val="003B20B8"/>
    <w:rsid w:val="003B4944"/>
    <w:rsid w:val="003B5604"/>
    <w:rsid w:val="003B58A3"/>
    <w:rsid w:val="003B5B1A"/>
    <w:rsid w:val="003C00AE"/>
    <w:rsid w:val="003C0FB3"/>
    <w:rsid w:val="003C3829"/>
    <w:rsid w:val="003C6BC3"/>
    <w:rsid w:val="003D30B4"/>
    <w:rsid w:val="003D464B"/>
    <w:rsid w:val="003D4A90"/>
    <w:rsid w:val="003D582F"/>
    <w:rsid w:val="003D62BE"/>
    <w:rsid w:val="003D72BB"/>
    <w:rsid w:val="003E0662"/>
    <w:rsid w:val="003E3CAE"/>
    <w:rsid w:val="003E554C"/>
    <w:rsid w:val="003E56B4"/>
    <w:rsid w:val="003F043E"/>
    <w:rsid w:val="003F230A"/>
    <w:rsid w:val="003F27D4"/>
    <w:rsid w:val="003F404D"/>
    <w:rsid w:val="003F712E"/>
    <w:rsid w:val="00402588"/>
    <w:rsid w:val="00403A95"/>
    <w:rsid w:val="00404DB3"/>
    <w:rsid w:val="00407E6E"/>
    <w:rsid w:val="004102B0"/>
    <w:rsid w:val="004103D7"/>
    <w:rsid w:val="004116E9"/>
    <w:rsid w:val="0041176C"/>
    <w:rsid w:val="0041178B"/>
    <w:rsid w:val="00420E00"/>
    <w:rsid w:val="00420FAD"/>
    <w:rsid w:val="00421D97"/>
    <w:rsid w:val="00421F47"/>
    <w:rsid w:val="00425879"/>
    <w:rsid w:val="004301BC"/>
    <w:rsid w:val="00430D64"/>
    <w:rsid w:val="004339B8"/>
    <w:rsid w:val="00435CE1"/>
    <w:rsid w:val="00437D5E"/>
    <w:rsid w:val="00437D61"/>
    <w:rsid w:val="004405F5"/>
    <w:rsid w:val="00440AFB"/>
    <w:rsid w:val="00442DF8"/>
    <w:rsid w:val="00444010"/>
    <w:rsid w:val="004450CE"/>
    <w:rsid w:val="00445BFD"/>
    <w:rsid w:val="004468FB"/>
    <w:rsid w:val="00450013"/>
    <w:rsid w:val="0045012F"/>
    <w:rsid w:val="00450A82"/>
    <w:rsid w:val="00451E2B"/>
    <w:rsid w:val="00457244"/>
    <w:rsid w:val="00463ABD"/>
    <w:rsid w:val="00463D21"/>
    <w:rsid w:val="00464DBC"/>
    <w:rsid w:val="004678FE"/>
    <w:rsid w:val="00467A06"/>
    <w:rsid w:val="0047193D"/>
    <w:rsid w:val="0047227B"/>
    <w:rsid w:val="00480C4D"/>
    <w:rsid w:val="0048181D"/>
    <w:rsid w:val="004836F8"/>
    <w:rsid w:val="00486142"/>
    <w:rsid w:val="004867BF"/>
    <w:rsid w:val="00491380"/>
    <w:rsid w:val="00492396"/>
    <w:rsid w:val="0049419D"/>
    <w:rsid w:val="0049527B"/>
    <w:rsid w:val="004972C4"/>
    <w:rsid w:val="004A0128"/>
    <w:rsid w:val="004A5080"/>
    <w:rsid w:val="004A6BDA"/>
    <w:rsid w:val="004B6F55"/>
    <w:rsid w:val="004B70A6"/>
    <w:rsid w:val="004C0B26"/>
    <w:rsid w:val="004C1FD7"/>
    <w:rsid w:val="004C515E"/>
    <w:rsid w:val="004C7046"/>
    <w:rsid w:val="004C77C0"/>
    <w:rsid w:val="004D0077"/>
    <w:rsid w:val="004D106B"/>
    <w:rsid w:val="004D3F7B"/>
    <w:rsid w:val="004E1B11"/>
    <w:rsid w:val="004E4991"/>
    <w:rsid w:val="004E6666"/>
    <w:rsid w:val="004E7C96"/>
    <w:rsid w:val="0050048F"/>
    <w:rsid w:val="005033B8"/>
    <w:rsid w:val="005044FF"/>
    <w:rsid w:val="0050600A"/>
    <w:rsid w:val="005100DE"/>
    <w:rsid w:val="00510223"/>
    <w:rsid w:val="00511756"/>
    <w:rsid w:val="00511B10"/>
    <w:rsid w:val="0051550D"/>
    <w:rsid w:val="00517F72"/>
    <w:rsid w:val="00521189"/>
    <w:rsid w:val="00521B60"/>
    <w:rsid w:val="005229E5"/>
    <w:rsid w:val="00523DD7"/>
    <w:rsid w:val="00523F77"/>
    <w:rsid w:val="005244F1"/>
    <w:rsid w:val="005246FD"/>
    <w:rsid w:val="005251E6"/>
    <w:rsid w:val="00525BE3"/>
    <w:rsid w:val="00526FC4"/>
    <w:rsid w:val="00536A1E"/>
    <w:rsid w:val="0053774E"/>
    <w:rsid w:val="00537BBE"/>
    <w:rsid w:val="0054167A"/>
    <w:rsid w:val="0054786F"/>
    <w:rsid w:val="005479CB"/>
    <w:rsid w:val="00555530"/>
    <w:rsid w:val="005617EC"/>
    <w:rsid w:val="005643BB"/>
    <w:rsid w:val="005649AA"/>
    <w:rsid w:val="00564AEE"/>
    <w:rsid w:val="005650CD"/>
    <w:rsid w:val="00566B2D"/>
    <w:rsid w:val="00572DA5"/>
    <w:rsid w:val="00575907"/>
    <w:rsid w:val="005769CB"/>
    <w:rsid w:val="005825EF"/>
    <w:rsid w:val="00582943"/>
    <w:rsid w:val="00582D57"/>
    <w:rsid w:val="005865FF"/>
    <w:rsid w:val="00590761"/>
    <w:rsid w:val="005914E7"/>
    <w:rsid w:val="00591C16"/>
    <w:rsid w:val="00591C2C"/>
    <w:rsid w:val="00591D2B"/>
    <w:rsid w:val="00592C01"/>
    <w:rsid w:val="005A1D43"/>
    <w:rsid w:val="005A2A86"/>
    <w:rsid w:val="005A6591"/>
    <w:rsid w:val="005B211D"/>
    <w:rsid w:val="005B429F"/>
    <w:rsid w:val="005B554D"/>
    <w:rsid w:val="005B63A5"/>
    <w:rsid w:val="005B7D8C"/>
    <w:rsid w:val="005C179B"/>
    <w:rsid w:val="005C2E27"/>
    <w:rsid w:val="005C334E"/>
    <w:rsid w:val="005C4042"/>
    <w:rsid w:val="005D1F16"/>
    <w:rsid w:val="005D21A8"/>
    <w:rsid w:val="005D279B"/>
    <w:rsid w:val="005D4DD3"/>
    <w:rsid w:val="005E0007"/>
    <w:rsid w:val="005E3C41"/>
    <w:rsid w:val="005E412E"/>
    <w:rsid w:val="005E6ACB"/>
    <w:rsid w:val="005F1532"/>
    <w:rsid w:val="005F303E"/>
    <w:rsid w:val="006023C6"/>
    <w:rsid w:val="006066B4"/>
    <w:rsid w:val="006069BC"/>
    <w:rsid w:val="006109CB"/>
    <w:rsid w:val="00611535"/>
    <w:rsid w:val="00611632"/>
    <w:rsid w:val="006135D3"/>
    <w:rsid w:val="00613ED3"/>
    <w:rsid w:val="006146A0"/>
    <w:rsid w:val="00614763"/>
    <w:rsid w:val="00615997"/>
    <w:rsid w:val="006226FB"/>
    <w:rsid w:val="00625B83"/>
    <w:rsid w:val="00630A28"/>
    <w:rsid w:val="00635F0B"/>
    <w:rsid w:val="00636214"/>
    <w:rsid w:val="00636589"/>
    <w:rsid w:val="00636F4C"/>
    <w:rsid w:val="00637850"/>
    <w:rsid w:val="00641277"/>
    <w:rsid w:val="00641878"/>
    <w:rsid w:val="006425DF"/>
    <w:rsid w:val="00643737"/>
    <w:rsid w:val="006517B6"/>
    <w:rsid w:val="00651FAC"/>
    <w:rsid w:val="00656DF5"/>
    <w:rsid w:val="0066016D"/>
    <w:rsid w:val="006607E2"/>
    <w:rsid w:val="006609AB"/>
    <w:rsid w:val="0066304B"/>
    <w:rsid w:val="00664BA9"/>
    <w:rsid w:val="00664DAC"/>
    <w:rsid w:val="00667633"/>
    <w:rsid w:val="006717DB"/>
    <w:rsid w:val="00671C21"/>
    <w:rsid w:val="00675C99"/>
    <w:rsid w:val="00676A24"/>
    <w:rsid w:val="00677445"/>
    <w:rsid w:val="006815AE"/>
    <w:rsid w:val="00682E86"/>
    <w:rsid w:val="0068481B"/>
    <w:rsid w:val="0068673A"/>
    <w:rsid w:val="006873BA"/>
    <w:rsid w:val="00690C2C"/>
    <w:rsid w:val="00693B59"/>
    <w:rsid w:val="006965DE"/>
    <w:rsid w:val="006A3696"/>
    <w:rsid w:val="006A4BC6"/>
    <w:rsid w:val="006A5CB6"/>
    <w:rsid w:val="006A650C"/>
    <w:rsid w:val="006B0876"/>
    <w:rsid w:val="006B5930"/>
    <w:rsid w:val="006C34C5"/>
    <w:rsid w:val="006C3A5F"/>
    <w:rsid w:val="006C6C5D"/>
    <w:rsid w:val="006D0126"/>
    <w:rsid w:val="006D3DFC"/>
    <w:rsid w:val="006D3F00"/>
    <w:rsid w:val="006D4620"/>
    <w:rsid w:val="006D4FF9"/>
    <w:rsid w:val="006D5CB9"/>
    <w:rsid w:val="006D7435"/>
    <w:rsid w:val="006E24FB"/>
    <w:rsid w:val="006E2BD1"/>
    <w:rsid w:val="006E519A"/>
    <w:rsid w:val="006F645C"/>
    <w:rsid w:val="006F6BB0"/>
    <w:rsid w:val="00700E50"/>
    <w:rsid w:val="0070124C"/>
    <w:rsid w:val="007019D8"/>
    <w:rsid w:val="00704BF7"/>
    <w:rsid w:val="00705AB6"/>
    <w:rsid w:val="00705E14"/>
    <w:rsid w:val="00711928"/>
    <w:rsid w:val="00711AAD"/>
    <w:rsid w:val="00711FBB"/>
    <w:rsid w:val="00713AFB"/>
    <w:rsid w:val="00720DDD"/>
    <w:rsid w:val="0072104F"/>
    <w:rsid w:val="0072466C"/>
    <w:rsid w:val="00727D94"/>
    <w:rsid w:val="00730184"/>
    <w:rsid w:val="00737161"/>
    <w:rsid w:val="00737420"/>
    <w:rsid w:val="007415F0"/>
    <w:rsid w:val="0074328E"/>
    <w:rsid w:val="007461FA"/>
    <w:rsid w:val="0075326F"/>
    <w:rsid w:val="00755673"/>
    <w:rsid w:val="0075598D"/>
    <w:rsid w:val="007621E7"/>
    <w:rsid w:val="007627A9"/>
    <w:rsid w:val="00765DB9"/>
    <w:rsid w:val="0077374D"/>
    <w:rsid w:val="00776342"/>
    <w:rsid w:val="0078164C"/>
    <w:rsid w:val="00781C2B"/>
    <w:rsid w:val="00786D6B"/>
    <w:rsid w:val="0078739C"/>
    <w:rsid w:val="00790333"/>
    <w:rsid w:val="00790D37"/>
    <w:rsid w:val="0079161E"/>
    <w:rsid w:val="007923FB"/>
    <w:rsid w:val="00794A7A"/>
    <w:rsid w:val="00797221"/>
    <w:rsid w:val="007B326F"/>
    <w:rsid w:val="007C7852"/>
    <w:rsid w:val="007D11AD"/>
    <w:rsid w:val="007D2F92"/>
    <w:rsid w:val="007D3D8F"/>
    <w:rsid w:val="007D4F87"/>
    <w:rsid w:val="007E0604"/>
    <w:rsid w:val="007E087F"/>
    <w:rsid w:val="007E3615"/>
    <w:rsid w:val="007E7F78"/>
    <w:rsid w:val="007F46F0"/>
    <w:rsid w:val="007F4E43"/>
    <w:rsid w:val="00801AEB"/>
    <w:rsid w:val="00805631"/>
    <w:rsid w:val="00805CE7"/>
    <w:rsid w:val="00807EA5"/>
    <w:rsid w:val="0081090E"/>
    <w:rsid w:val="008128FB"/>
    <w:rsid w:val="0081415A"/>
    <w:rsid w:val="008145FE"/>
    <w:rsid w:val="0081555A"/>
    <w:rsid w:val="00816078"/>
    <w:rsid w:val="008264B5"/>
    <w:rsid w:val="00827F97"/>
    <w:rsid w:val="008350BF"/>
    <w:rsid w:val="00843C8E"/>
    <w:rsid w:val="008448F4"/>
    <w:rsid w:val="00845D37"/>
    <w:rsid w:val="00847F88"/>
    <w:rsid w:val="00855F27"/>
    <w:rsid w:val="00861A65"/>
    <w:rsid w:val="00864AAF"/>
    <w:rsid w:val="00865140"/>
    <w:rsid w:val="00867F7B"/>
    <w:rsid w:val="008729A1"/>
    <w:rsid w:val="00872BBA"/>
    <w:rsid w:val="00874212"/>
    <w:rsid w:val="0087518F"/>
    <w:rsid w:val="00876374"/>
    <w:rsid w:val="00880054"/>
    <w:rsid w:val="008802B3"/>
    <w:rsid w:val="008908A5"/>
    <w:rsid w:val="008908DD"/>
    <w:rsid w:val="00897749"/>
    <w:rsid w:val="008A272D"/>
    <w:rsid w:val="008A275C"/>
    <w:rsid w:val="008A6347"/>
    <w:rsid w:val="008A67FC"/>
    <w:rsid w:val="008A7042"/>
    <w:rsid w:val="008B7EE4"/>
    <w:rsid w:val="008C216F"/>
    <w:rsid w:val="008C2286"/>
    <w:rsid w:val="008C2816"/>
    <w:rsid w:val="008C283E"/>
    <w:rsid w:val="008C589B"/>
    <w:rsid w:val="008C5F37"/>
    <w:rsid w:val="008D3FCA"/>
    <w:rsid w:val="008D5692"/>
    <w:rsid w:val="008E2376"/>
    <w:rsid w:val="008E737B"/>
    <w:rsid w:val="008E7702"/>
    <w:rsid w:val="008F3CC0"/>
    <w:rsid w:val="008F7E5C"/>
    <w:rsid w:val="008F7E60"/>
    <w:rsid w:val="00902058"/>
    <w:rsid w:val="009113D6"/>
    <w:rsid w:val="00911C50"/>
    <w:rsid w:val="009123C6"/>
    <w:rsid w:val="00914524"/>
    <w:rsid w:val="009175D0"/>
    <w:rsid w:val="009179C6"/>
    <w:rsid w:val="009215F2"/>
    <w:rsid w:val="00921D9E"/>
    <w:rsid w:val="00922279"/>
    <w:rsid w:val="00922CFE"/>
    <w:rsid w:val="0092353F"/>
    <w:rsid w:val="0092379A"/>
    <w:rsid w:val="0092485A"/>
    <w:rsid w:val="009248FD"/>
    <w:rsid w:val="009326CA"/>
    <w:rsid w:val="009415F2"/>
    <w:rsid w:val="00942BD1"/>
    <w:rsid w:val="00943026"/>
    <w:rsid w:val="009441D2"/>
    <w:rsid w:val="009502B9"/>
    <w:rsid w:val="009521DD"/>
    <w:rsid w:val="00953FD7"/>
    <w:rsid w:val="00961009"/>
    <w:rsid w:val="009774E2"/>
    <w:rsid w:val="00980F6F"/>
    <w:rsid w:val="00981BB0"/>
    <w:rsid w:val="00981DCC"/>
    <w:rsid w:val="009831AA"/>
    <w:rsid w:val="00984F3D"/>
    <w:rsid w:val="00985389"/>
    <w:rsid w:val="00985BC6"/>
    <w:rsid w:val="00995DE5"/>
    <w:rsid w:val="009A0502"/>
    <w:rsid w:val="009A1E30"/>
    <w:rsid w:val="009A3869"/>
    <w:rsid w:val="009A415B"/>
    <w:rsid w:val="009A5352"/>
    <w:rsid w:val="009A66B5"/>
    <w:rsid w:val="009A7345"/>
    <w:rsid w:val="009B1D97"/>
    <w:rsid w:val="009B3308"/>
    <w:rsid w:val="009B4DBC"/>
    <w:rsid w:val="009B4EAD"/>
    <w:rsid w:val="009B56D8"/>
    <w:rsid w:val="009B77F3"/>
    <w:rsid w:val="009D0673"/>
    <w:rsid w:val="009D16BD"/>
    <w:rsid w:val="009D5974"/>
    <w:rsid w:val="009D6A5A"/>
    <w:rsid w:val="009E0ACB"/>
    <w:rsid w:val="009E1158"/>
    <w:rsid w:val="009E3D50"/>
    <w:rsid w:val="009E497A"/>
    <w:rsid w:val="009F1194"/>
    <w:rsid w:val="009F7B9A"/>
    <w:rsid w:val="00A01648"/>
    <w:rsid w:val="00A03EA3"/>
    <w:rsid w:val="00A15382"/>
    <w:rsid w:val="00A15AFF"/>
    <w:rsid w:val="00A17794"/>
    <w:rsid w:val="00A24793"/>
    <w:rsid w:val="00A26945"/>
    <w:rsid w:val="00A31CA5"/>
    <w:rsid w:val="00A323C9"/>
    <w:rsid w:val="00A35EC1"/>
    <w:rsid w:val="00A35F91"/>
    <w:rsid w:val="00A36069"/>
    <w:rsid w:val="00A41004"/>
    <w:rsid w:val="00A414A7"/>
    <w:rsid w:val="00A42EDD"/>
    <w:rsid w:val="00A456BD"/>
    <w:rsid w:val="00A46068"/>
    <w:rsid w:val="00A47C50"/>
    <w:rsid w:val="00A506DC"/>
    <w:rsid w:val="00A50B8B"/>
    <w:rsid w:val="00A51797"/>
    <w:rsid w:val="00A52653"/>
    <w:rsid w:val="00A52991"/>
    <w:rsid w:val="00A54AAA"/>
    <w:rsid w:val="00A570A5"/>
    <w:rsid w:val="00A6029C"/>
    <w:rsid w:val="00A670CD"/>
    <w:rsid w:val="00A67FC0"/>
    <w:rsid w:val="00A712DB"/>
    <w:rsid w:val="00A7179C"/>
    <w:rsid w:val="00A84C17"/>
    <w:rsid w:val="00A85701"/>
    <w:rsid w:val="00A85773"/>
    <w:rsid w:val="00A874E8"/>
    <w:rsid w:val="00A90691"/>
    <w:rsid w:val="00A90B3E"/>
    <w:rsid w:val="00A96449"/>
    <w:rsid w:val="00A974D4"/>
    <w:rsid w:val="00AA38D9"/>
    <w:rsid w:val="00AA7999"/>
    <w:rsid w:val="00AA7D4D"/>
    <w:rsid w:val="00AB2461"/>
    <w:rsid w:val="00AB4E29"/>
    <w:rsid w:val="00AB701C"/>
    <w:rsid w:val="00AC1AF9"/>
    <w:rsid w:val="00AC2915"/>
    <w:rsid w:val="00AC3B98"/>
    <w:rsid w:val="00AC7C01"/>
    <w:rsid w:val="00AD4D29"/>
    <w:rsid w:val="00AE238C"/>
    <w:rsid w:val="00AE2EE6"/>
    <w:rsid w:val="00AE75F2"/>
    <w:rsid w:val="00AE79A5"/>
    <w:rsid w:val="00AF2058"/>
    <w:rsid w:val="00AF2B92"/>
    <w:rsid w:val="00AF3B96"/>
    <w:rsid w:val="00B017A1"/>
    <w:rsid w:val="00B05672"/>
    <w:rsid w:val="00B05674"/>
    <w:rsid w:val="00B0577C"/>
    <w:rsid w:val="00B1636C"/>
    <w:rsid w:val="00B17FC0"/>
    <w:rsid w:val="00B22F76"/>
    <w:rsid w:val="00B32CEF"/>
    <w:rsid w:val="00B353B5"/>
    <w:rsid w:val="00B4361F"/>
    <w:rsid w:val="00B53110"/>
    <w:rsid w:val="00B5692E"/>
    <w:rsid w:val="00B62291"/>
    <w:rsid w:val="00B62BA8"/>
    <w:rsid w:val="00B67669"/>
    <w:rsid w:val="00B677DD"/>
    <w:rsid w:val="00B67870"/>
    <w:rsid w:val="00B7083B"/>
    <w:rsid w:val="00B72C5A"/>
    <w:rsid w:val="00B756BE"/>
    <w:rsid w:val="00B75D9F"/>
    <w:rsid w:val="00B83902"/>
    <w:rsid w:val="00B90F52"/>
    <w:rsid w:val="00B96E6D"/>
    <w:rsid w:val="00B96F13"/>
    <w:rsid w:val="00B97D21"/>
    <w:rsid w:val="00BA6AC2"/>
    <w:rsid w:val="00BA7A2F"/>
    <w:rsid w:val="00BB393D"/>
    <w:rsid w:val="00BB4F89"/>
    <w:rsid w:val="00BB58C9"/>
    <w:rsid w:val="00BB5CAE"/>
    <w:rsid w:val="00BB662F"/>
    <w:rsid w:val="00BC1147"/>
    <w:rsid w:val="00BC197C"/>
    <w:rsid w:val="00BC41D7"/>
    <w:rsid w:val="00BC4450"/>
    <w:rsid w:val="00BC4961"/>
    <w:rsid w:val="00BC72CE"/>
    <w:rsid w:val="00BD178F"/>
    <w:rsid w:val="00BD2BB7"/>
    <w:rsid w:val="00BD4686"/>
    <w:rsid w:val="00BE174B"/>
    <w:rsid w:val="00BF19E7"/>
    <w:rsid w:val="00BF1B4A"/>
    <w:rsid w:val="00BF3C97"/>
    <w:rsid w:val="00C02ED7"/>
    <w:rsid w:val="00C1378D"/>
    <w:rsid w:val="00C139AD"/>
    <w:rsid w:val="00C1407A"/>
    <w:rsid w:val="00C141A5"/>
    <w:rsid w:val="00C1575A"/>
    <w:rsid w:val="00C159BB"/>
    <w:rsid w:val="00C20F4E"/>
    <w:rsid w:val="00C22A24"/>
    <w:rsid w:val="00C2686F"/>
    <w:rsid w:val="00C26A95"/>
    <w:rsid w:val="00C26D9F"/>
    <w:rsid w:val="00C3081A"/>
    <w:rsid w:val="00C30C0D"/>
    <w:rsid w:val="00C32562"/>
    <w:rsid w:val="00C371AD"/>
    <w:rsid w:val="00C41A70"/>
    <w:rsid w:val="00C43A4E"/>
    <w:rsid w:val="00C43FB5"/>
    <w:rsid w:val="00C51840"/>
    <w:rsid w:val="00C52295"/>
    <w:rsid w:val="00C61667"/>
    <w:rsid w:val="00C62A8F"/>
    <w:rsid w:val="00C62ECF"/>
    <w:rsid w:val="00C712E7"/>
    <w:rsid w:val="00C72CBC"/>
    <w:rsid w:val="00C73697"/>
    <w:rsid w:val="00C75836"/>
    <w:rsid w:val="00C77EEB"/>
    <w:rsid w:val="00C801B1"/>
    <w:rsid w:val="00C82298"/>
    <w:rsid w:val="00C84A49"/>
    <w:rsid w:val="00C854F7"/>
    <w:rsid w:val="00C877CF"/>
    <w:rsid w:val="00C94BDC"/>
    <w:rsid w:val="00C953C9"/>
    <w:rsid w:val="00C95D21"/>
    <w:rsid w:val="00CA08E0"/>
    <w:rsid w:val="00CA0F76"/>
    <w:rsid w:val="00CA208F"/>
    <w:rsid w:val="00CA2BBE"/>
    <w:rsid w:val="00CA7AA9"/>
    <w:rsid w:val="00CB0D39"/>
    <w:rsid w:val="00CB50BE"/>
    <w:rsid w:val="00CB5D8E"/>
    <w:rsid w:val="00CC1148"/>
    <w:rsid w:val="00CC2478"/>
    <w:rsid w:val="00CC29C0"/>
    <w:rsid w:val="00CC3CAF"/>
    <w:rsid w:val="00CC3D3A"/>
    <w:rsid w:val="00CD1EFF"/>
    <w:rsid w:val="00CD2BD4"/>
    <w:rsid w:val="00CD657B"/>
    <w:rsid w:val="00CD7181"/>
    <w:rsid w:val="00CD78AD"/>
    <w:rsid w:val="00CE3F96"/>
    <w:rsid w:val="00CE53EB"/>
    <w:rsid w:val="00CE6F4A"/>
    <w:rsid w:val="00CE7653"/>
    <w:rsid w:val="00CF028F"/>
    <w:rsid w:val="00CF1724"/>
    <w:rsid w:val="00CF54E1"/>
    <w:rsid w:val="00D00315"/>
    <w:rsid w:val="00D01CE0"/>
    <w:rsid w:val="00D034C2"/>
    <w:rsid w:val="00D04175"/>
    <w:rsid w:val="00D04562"/>
    <w:rsid w:val="00D10B10"/>
    <w:rsid w:val="00D12168"/>
    <w:rsid w:val="00D137DA"/>
    <w:rsid w:val="00D13906"/>
    <w:rsid w:val="00D15348"/>
    <w:rsid w:val="00D276B3"/>
    <w:rsid w:val="00D306A8"/>
    <w:rsid w:val="00D3157F"/>
    <w:rsid w:val="00D337E2"/>
    <w:rsid w:val="00D3649E"/>
    <w:rsid w:val="00D443CC"/>
    <w:rsid w:val="00D44D8B"/>
    <w:rsid w:val="00D4503B"/>
    <w:rsid w:val="00D47135"/>
    <w:rsid w:val="00D471E6"/>
    <w:rsid w:val="00D47D80"/>
    <w:rsid w:val="00D50D90"/>
    <w:rsid w:val="00D51BE1"/>
    <w:rsid w:val="00D52C2C"/>
    <w:rsid w:val="00D5407D"/>
    <w:rsid w:val="00D54E36"/>
    <w:rsid w:val="00D60363"/>
    <w:rsid w:val="00D60D62"/>
    <w:rsid w:val="00D66B23"/>
    <w:rsid w:val="00D71077"/>
    <w:rsid w:val="00D746D9"/>
    <w:rsid w:val="00D81BB6"/>
    <w:rsid w:val="00D822EB"/>
    <w:rsid w:val="00D84A6F"/>
    <w:rsid w:val="00D85CAC"/>
    <w:rsid w:val="00D907E9"/>
    <w:rsid w:val="00D91A4D"/>
    <w:rsid w:val="00D93A63"/>
    <w:rsid w:val="00D93D8A"/>
    <w:rsid w:val="00D95407"/>
    <w:rsid w:val="00D96783"/>
    <w:rsid w:val="00D96870"/>
    <w:rsid w:val="00D97F40"/>
    <w:rsid w:val="00DA23C0"/>
    <w:rsid w:val="00DA3CCB"/>
    <w:rsid w:val="00DB21F6"/>
    <w:rsid w:val="00DB5100"/>
    <w:rsid w:val="00DC10E6"/>
    <w:rsid w:val="00DC5306"/>
    <w:rsid w:val="00DC56AB"/>
    <w:rsid w:val="00DD716E"/>
    <w:rsid w:val="00DE3C19"/>
    <w:rsid w:val="00DE6531"/>
    <w:rsid w:val="00DF1853"/>
    <w:rsid w:val="00DF1D48"/>
    <w:rsid w:val="00DF26EE"/>
    <w:rsid w:val="00DF2AB5"/>
    <w:rsid w:val="00DF4E42"/>
    <w:rsid w:val="00DF5F3F"/>
    <w:rsid w:val="00DF6C3D"/>
    <w:rsid w:val="00E04B1B"/>
    <w:rsid w:val="00E06071"/>
    <w:rsid w:val="00E071B3"/>
    <w:rsid w:val="00E134CB"/>
    <w:rsid w:val="00E1727E"/>
    <w:rsid w:val="00E17B31"/>
    <w:rsid w:val="00E201FC"/>
    <w:rsid w:val="00E21894"/>
    <w:rsid w:val="00E24B4F"/>
    <w:rsid w:val="00E274DD"/>
    <w:rsid w:val="00E27978"/>
    <w:rsid w:val="00E32E73"/>
    <w:rsid w:val="00E355D8"/>
    <w:rsid w:val="00E360DF"/>
    <w:rsid w:val="00E36EA5"/>
    <w:rsid w:val="00E41290"/>
    <w:rsid w:val="00E51269"/>
    <w:rsid w:val="00E54157"/>
    <w:rsid w:val="00E6262F"/>
    <w:rsid w:val="00E64290"/>
    <w:rsid w:val="00E712BC"/>
    <w:rsid w:val="00E71853"/>
    <w:rsid w:val="00E71A91"/>
    <w:rsid w:val="00E72741"/>
    <w:rsid w:val="00E7746A"/>
    <w:rsid w:val="00E80CD3"/>
    <w:rsid w:val="00E819F1"/>
    <w:rsid w:val="00E8651A"/>
    <w:rsid w:val="00E86758"/>
    <w:rsid w:val="00E87378"/>
    <w:rsid w:val="00E87B8D"/>
    <w:rsid w:val="00E87E59"/>
    <w:rsid w:val="00E92921"/>
    <w:rsid w:val="00E95531"/>
    <w:rsid w:val="00E955A7"/>
    <w:rsid w:val="00E95808"/>
    <w:rsid w:val="00EA02DF"/>
    <w:rsid w:val="00EA2F8C"/>
    <w:rsid w:val="00EA34AA"/>
    <w:rsid w:val="00EA4117"/>
    <w:rsid w:val="00EB2119"/>
    <w:rsid w:val="00EB2164"/>
    <w:rsid w:val="00EB2FE7"/>
    <w:rsid w:val="00EB44EA"/>
    <w:rsid w:val="00EB585C"/>
    <w:rsid w:val="00EC163A"/>
    <w:rsid w:val="00EC1936"/>
    <w:rsid w:val="00EC2CB3"/>
    <w:rsid w:val="00EC7393"/>
    <w:rsid w:val="00ED227B"/>
    <w:rsid w:val="00ED5D37"/>
    <w:rsid w:val="00ED65D2"/>
    <w:rsid w:val="00EE0485"/>
    <w:rsid w:val="00EE595F"/>
    <w:rsid w:val="00EF313D"/>
    <w:rsid w:val="00EF411F"/>
    <w:rsid w:val="00EF7C50"/>
    <w:rsid w:val="00F00424"/>
    <w:rsid w:val="00F00962"/>
    <w:rsid w:val="00F01B5C"/>
    <w:rsid w:val="00F0456D"/>
    <w:rsid w:val="00F04576"/>
    <w:rsid w:val="00F1000E"/>
    <w:rsid w:val="00F1037C"/>
    <w:rsid w:val="00F14E90"/>
    <w:rsid w:val="00F15C23"/>
    <w:rsid w:val="00F202AC"/>
    <w:rsid w:val="00F21E37"/>
    <w:rsid w:val="00F250FF"/>
    <w:rsid w:val="00F27B71"/>
    <w:rsid w:val="00F27CF2"/>
    <w:rsid w:val="00F3406A"/>
    <w:rsid w:val="00F34A87"/>
    <w:rsid w:val="00F43421"/>
    <w:rsid w:val="00F44C73"/>
    <w:rsid w:val="00F46C63"/>
    <w:rsid w:val="00F46F53"/>
    <w:rsid w:val="00F50173"/>
    <w:rsid w:val="00F536B1"/>
    <w:rsid w:val="00F55C47"/>
    <w:rsid w:val="00F56913"/>
    <w:rsid w:val="00F627E7"/>
    <w:rsid w:val="00F64BCF"/>
    <w:rsid w:val="00F665A4"/>
    <w:rsid w:val="00F67B0C"/>
    <w:rsid w:val="00F7347D"/>
    <w:rsid w:val="00F77555"/>
    <w:rsid w:val="00F80656"/>
    <w:rsid w:val="00F83607"/>
    <w:rsid w:val="00F84C7F"/>
    <w:rsid w:val="00F86DF7"/>
    <w:rsid w:val="00F91C3F"/>
    <w:rsid w:val="00F931C5"/>
    <w:rsid w:val="00F94CDD"/>
    <w:rsid w:val="00F957F5"/>
    <w:rsid w:val="00F979EF"/>
    <w:rsid w:val="00FA2F4C"/>
    <w:rsid w:val="00FB074B"/>
    <w:rsid w:val="00FB11A3"/>
    <w:rsid w:val="00FB14C0"/>
    <w:rsid w:val="00FB2118"/>
    <w:rsid w:val="00FB5860"/>
    <w:rsid w:val="00FB5D0B"/>
    <w:rsid w:val="00FC35B7"/>
    <w:rsid w:val="00FC52A9"/>
    <w:rsid w:val="00FD1547"/>
    <w:rsid w:val="00FD2734"/>
    <w:rsid w:val="00FD6552"/>
    <w:rsid w:val="00FE0736"/>
    <w:rsid w:val="00FE478C"/>
    <w:rsid w:val="00FE5102"/>
    <w:rsid w:val="00FE5D5D"/>
    <w:rsid w:val="00FF13AA"/>
    <w:rsid w:val="00FF2552"/>
    <w:rsid w:val="00FF5F89"/>
    <w:rsid w:val="00FF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1C422-9CC3-402B-9F62-DE843912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92"/>
  </w:style>
  <w:style w:type="paragraph" w:styleId="Footer">
    <w:name w:val="footer"/>
    <w:basedOn w:val="Normal"/>
    <w:link w:val="FooterChar"/>
    <w:uiPriority w:val="99"/>
    <w:unhideWhenUsed/>
    <w:rsid w:val="007D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92"/>
  </w:style>
  <w:style w:type="paragraph" w:styleId="BalloonText">
    <w:name w:val="Balloon Text"/>
    <w:basedOn w:val="Normal"/>
    <w:link w:val="BalloonTextChar"/>
    <w:uiPriority w:val="99"/>
    <w:semiHidden/>
    <w:unhideWhenUsed/>
    <w:rsid w:val="004D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4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90"/>
    <w:rPr>
      <w:b/>
      <w:bCs/>
      <w:sz w:val="20"/>
      <w:szCs w:val="20"/>
    </w:rPr>
  </w:style>
  <w:style w:type="paragraph" w:styleId="NoSpacing">
    <w:name w:val="No Spacing"/>
    <w:uiPriority w:val="1"/>
    <w:qFormat/>
    <w:rsid w:val="00BF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57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6E12-4101-4761-85E2-8616342C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Faustus</dc:creator>
  <cp:lastModifiedBy>Annekatrin El Oumrany</cp:lastModifiedBy>
  <cp:revision>46</cp:revision>
  <cp:lastPrinted>2017-08-23T13:58:00Z</cp:lastPrinted>
  <dcterms:created xsi:type="dcterms:W3CDTF">2018-02-22T04:08:00Z</dcterms:created>
  <dcterms:modified xsi:type="dcterms:W3CDTF">2018-03-02T23:36:00Z</dcterms:modified>
</cp:coreProperties>
</file>